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50" w:rsidRDefault="00210950" w:rsidP="00210950">
      <w:pPr>
        <w:adjustRightInd w:val="0"/>
        <w:snapToGrid w:val="0"/>
        <w:spacing w:line="360" w:lineRule="auto"/>
        <w:rPr>
          <w:rFonts w:ascii="黑体" w:eastAsia="黑体" w:hAnsi="黑体"/>
          <w:color w:val="000000"/>
          <w:sz w:val="32"/>
          <w:szCs w:val="32"/>
        </w:rPr>
      </w:pPr>
      <w:r w:rsidRPr="00D61D12">
        <w:rPr>
          <w:rFonts w:ascii="黑体" w:eastAsia="黑体" w:hAnsi="黑体" w:hint="eastAsia"/>
          <w:color w:val="000000"/>
          <w:sz w:val="32"/>
          <w:szCs w:val="32"/>
        </w:rPr>
        <w:t>附件</w:t>
      </w:r>
      <w:r w:rsidR="00D61D12" w:rsidRPr="00D61D12">
        <w:rPr>
          <w:rFonts w:ascii="黑体" w:eastAsia="黑体" w:hAnsi="黑体" w:hint="eastAsia"/>
          <w:color w:val="000000"/>
          <w:sz w:val="32"/>
          <w:szCs w:val="32"/>
        </w:rPr>
        <w:t>1</w:t>
      </w:r>
    </w:p>
    <w:p w:rsidR="00D61D12" w:rsidRPr="005507D5" w:rsidRDefault="00D61D12" w:rsidP="005507D5">
      <w:pPr>
        <w:adjustRightInd w:val="0"/>
        <w:snapToGrid w:val="0"/>
        <w:spacing w:line="360" w:lineRule="auto"/>
        <w:ind w:firstLineChars="200" w:firstLine="640"/>
        <w:rPr>
          <w:rFonts w:ascii="仿宋" w:eastAsia="仿宋" w:hAnsi="仿宋"/>
          <w:color w:val="000000"/>
          <w:sz w:val="32"/>
          <w:szCs w:val="32"/>
        </w:rPr>
      </w:pPr>
    </w:p>
    <w:p w:rsidR="00210950" w:rsidRPr="00D61D12" w:rsidRDefault="00210950" w:rsidP="00210950">
      <w:pPr>
        <w:adjustRightInd w:val="0"/>
        <w:snapToGrid w:val="0"/>
        <w:spacing w:line="360" w:lineRule="auto"/>
        <w:jc w:val="center"/>
        <w:rPr>
          <w:rFonts w:ascii="方正小标宋简体" w:eastAsia="方正小标宋简体" w:hAnsi="宋体" w:cs="Times New Roman"/>
          <w:sz w:val="36"/>
          <w:szCs w:val="36"/>
        </w:rPr>
      </w:pPr>
      <w:r w:rsidRPr="00D61D12">
        <w:rPr>
          <w:rFonts w:ascii="方正小标宋简体" w:eastAsia="方正小标宋简体" w:hAnsi="宋体" w:cs="Times New Roman" w:hint="eastAsia"/>
          <w:sz w:val="36"/>
          <w:szCs w:val="36"/>
        </w:rPr>
        <w:t>金融工具</w:t>
      </w:r>
      <w:r w:rsidRPr="00D61D12">
        <w:rPr>
          <w:rFonts w:ascii="方正小标宋简体" w:eastAsia="方正小标宋简体" w:hAnsi="宋体" w:cs="Times New Roman"/>
          <w:sz w:val="36"/>
          <w:szCs w:val="36"/>
        </w:rPr>
        <w:t>减值处理方法及</w:t>
      </w:r>
      <w:r w:rsidRPr="00D61D12">
        <w:rPr>
          <w:rFonts w:ascii="方正小标宋简体" w:eastAsia="方正小标宋简体" w:hAnsi="宋体" w:cs="Times New Roman" w:hint="eastAsia"/>
          <w:sz w:val="36"/>
          <w:szCs w:val="36"/>
        </w:rPr>
        <w:t>适用</w:t>
      </w:r>
      <w:r w:rsidRPr="00D61D12">
        <w:rPr>
          <w:rFonts w:ascii="方正小标宋简体" w:eastAsia="方正小标宋简体" w:hAnsi="宋体" w:cs="Times New Roman"/>
          <w:sz w:val="36"/>
          <w:szCs w:val="36"/>
        </w:rPr>
        <w:t>简化处理的情形</w:t>
      </w:r>
    </w:p>
    <w:p w:rsidR="00DB763D" w:rsidRPr="00375E83" w:rsidRDefault="00DB763D" w:rsidP="00375E83">
      <w:pPr>
        <w:adjustRightInd w:val="0"/>
        <w:snapToGrid w:val="0"/>
        <w:spacing w:line="360" w:lineRule="auto"/>
        <w:ind w:firstLineChars="200" w:firstLine="640"/>
        <w:rPr>
          <w:rFonts w:ascii="黑体" w:eastAsia="黑体" w:hAnsi="黑体" w:cs="Times New Roman"/>
          <w:sz w:val="32"/>
          <w:szCs w:val="32"/>
        </w:rPr>
      </w:pPr>
      <w:r w:rsidRPr="00375E83">
        <w:rPr>
          <w:rFonts w:ascii="黑体" w:eastAsia="黑体" w:hAnsi="黑体" w:cs="Times New Roman" w:hint="eastAsia"/>
          <w:sz w:val="32"/>
          <w:szCs w:val="32"/>
        </w:rPr>
        <w:t>一</w:t>
      </w:r>
      <w:r w:rsidRPr="00375E83">
        <w:rPr>
          <w:rFonts w:ascii="黑体" w:eastAsia="黑体" w:hAnsi="黑体" w:cs="Times New Roman"/>
          <w:sz w:val="32"/>
          <w:szCs w:val="32"/>
        </w:rPr>
        <w:t>、</w:t>
      </w:r>
      <w:r w:rsidR="003B3285" w:rsidRPr="00375E83">
        <w:rPr>
          <w:rFonts w:ascii="黑体" w:eastAsia="黑体" w:hAnsi="黑体" w:cs="Times New Roman" w:hint="eastAsia"/>
          <w:sz w:val="32"/>
          <w:szCs w:val="32"/>
        </w:rPr>
        <w:t>不同阶段金融工具减值的</w:t>
      </w:r>
      <w:r w:rsidRPr="00375E83">
        <w:rPr>
          <w:rFonts w:ascii="黑体" w:eastAsia="黑体" w:hAnsi="黑体" w:cs="Times New Roman" w:hint="eastAsia"/>
          <w:sz w:val="32"/>
          <w:szCs w:val="32"/>
        </w:rPr>
        <w:t>处理方法</w:t>
      </w:r>
    </w:p>
    <w:p w:rsidR="003B40CE" w:rsidRPr="00375E83" w:rsidRDefault="003B40CE" w:rsidP="00375E83">
      <w:pPr>
        <w:adjustRightInd w:val="0"/>
        <w:snapToGrid w:val="0"/>
        <w:spacing w:line="360" w:lineRule="auto"/>
        <w:ind w:firstLineChars="200" w:firstLine="643"/>
        <w:rPr>
          <w:rFonts w:ascii="楷体" w:eastAsia="楷体" w:hAnsi="楷体" w:cs="Times New Roman"/>
          <w:b/>
          <w:color w:val="000000"/>
          <w:sz w:val="32"/>
          <w:szCs w:val="32"/>
        </w:rPr>
      </w:pPr>
      <w:r w:rsidRPr="00375E83">
        <w:rPr>
          <w:rFonts w:ascii="楷体" w:eastAsia="楷体" w:hAnsi="楷体" w:cs="Times New Roman" w:hint="eastAsia"/>
          <w:b/>
          <w:color w:val="000000"/>
          <w:sz w:val="32"/>
          <w:szCs w:val="32"/>
        </w:rPr>
        <w:t>（一）对于</w:t>
      </w:r>
      <w:proofErr w:type="gramStart"/>
      <w:r w:rsidRPr="00375E83">
        <w:rPr>
          <w:rFonts w:ascii="楷体" w:eastAsia="楷体" w:hAnsi="楷体" w:cs="Times New Roman" w:hint="eastAsia"/>
          <w:b/>
          <w:color w:val="000000"/>
          <w:sz w:val="32"/>
          <w:szCs w:val="32"/>
        </w:rPr>
        <w:t>购买或源生</w:t>
      </w:r>
      <w:proofErr w:type="gramEnd"/>
      <w:r w:rsidRPr="00375E83">
        <w:rPr>
          <w:rFonts w:ascii="楷体" w:eastAsia="楷体" w:hAnsi="楷体" w:cs="Times New Roman" w:hint="eastAsia"/>
          <w:b/>
          <w:color w:val="000000"/>
          <w:sz w:val="32"/>
          <w:szCs w:val="32"/>
        </w:rPr>
        <w:t>时未发生信用减值的金融工具</w:t>
      </w:r>
    </w:p>
    <w:p w:rsidR="00DB763D" w:rsidRPr="00D61D12" w:rsidRDefault="00DB763D" w:rsidP="00375E83">
      <w:pPr>
        <w:adjustRightInd w:val="0"/>
        <w:snapToGrid w:val="0"/>
        <w:spacing w:line="360" w:lineRule="auto"/>
        <w:ind w:firstLineChars="200" w:firstLine="640"/>
        <w:rPr>
          <w:rFonts w:ascii="仿宋" w:eastAsia="仿宋" w:hAnsi="仿宋"/>
          <w:color w:val="000000"/>
          <w:sz w:val="32"/>
          <w:szCs w:val="32"/>
        </w:rPr>
      </w:pPr>
      <w:r w:rsidRPr="00D61D12">
        <w:rPr>
          <w:rFonts w:ascii="仿宋" w:eastAsia="仿宋" w:hAnsi="仿宋" w:hint="eastAsia"/>
          <w:color w:val="000000"/>
          <w:sz w:val="32"/>
          <w:szCs w:val="32"/>
        </w:rPr>
        <w:t>按照新</w:t>
      </w:r>
      <w:r w:rsidR="003B3285" w:rsidRPr="00D61D12">
        <w:rPr>
          <w:rFonts w:ascii="仿宋" w:eastAsia="仿宋" w:hAnsi="仿宋" w:hint="eastAsia"/>
          <w:color w:val="000000"/>
          <w:sz w:val="32"/>
          <w:szCs w:val="32"/>
        </w:rPr>
        <w:t>金融</w:t>
      </w:r>
      <w:r w:rsidRPr="00D61D12">
        <w:rPr>
          <w:rFonts w:ascii="仿宋" w:eastAsia="仿宋" w:hAnsi="仿宋" w:hint="eastAsia"/>
          <w:color w:val="000000"/>
          <w:sz w:val="32"/>
          <w:szCs w:val="32"/>
        </w:rPr>
        <w:t>准则相关规定，</w:t>
      </w:r>
      <w:r w:rsidR="005D4563" w:rsidRPr="00D61D12">
        <w:rPr>
          <w:rFonts w:ascii="仿宋" w:eastAsia="仿宋" w:hAnsi="仿宋" w:hint="eastAsia"/>
          <w:color w:val="000000"/>
          <w:sz w:val="32"/>
          <w:szCs w:val="32"/>
        </w:rPr>
        <w:t>一般情况下</w:t>
      </w:r>
      <w:r w:rsidRPr="00D61D12">
        <w:rPr>
          <w:rFonts w:ascii="仿宋" w:eastAsia="仿宋" w:hAnsi="仿宋" w:hint="eastAsia"/>
          <w:color w:val="000000"/>
          <w:sz w:val="32"/>
          <w:szCs w:val="32"/>
        </w:rPr>
        <w:t>可以将金融工具发生信用</w:t>
      </w:r>
      <w:r w:rsidR="003B3285" w:rsidRPr="00D61D12">
        <w:rPr>
          <w:rFonts w:ascii="仿宋" w:eastAsia="仿宋" w:hAnsi="仿宋" w:hint="eastAsia"/>
          <w:color w:val="000000"/>
          <w:sz w:val="32"/>
          <w:szCs w:val="32"/>
        </w:rPr>
        <w:t>减值的过程分为三个阶段，</w:t>
      </w:r>
      <w:r w:rsidR="00864A8C" w:rsidRPr="00D61D12">
        <w:rPr>
          <w:rFonts w:ascii="仿宋" w:eastAsia="仿宋" w:hAnsi="仿宋" w:hint="eastAsia"/>
          <w:color w:val="000000"/>
          <w:sz w:val="32"/>
          <w:szCs w:val="32"/>
        </w:rPr>
        <w:t>各</w:t>
      </w:r>
      <w:r w:rsidR="003B3285" w:rsidRPr="00D61D12">
        <w:rPr>
          <w:rFonts w:ascii="仿宋" w:eastAsia="仿宋" w:hAnsi="仿宋" w:hint="eastAsia"/>
          <w:color w:val="000000"/>
          <w:sz w:val="32"/>
          <w:szCs w:val="32"/>
        </w:rPr>
        <w:t>阶段的</w:t>
      </w:r>
      <w:r w:rsidRPr="00D61D12">
        <w:rPr>
          <w:rFonts w:ascii="仿宋" w:eastAsia="仿宋" w:hAnsi="仿宋" w:hint="eastAsia"/>
          <w:color w:val="000000"/>
          <w:sz w:val="32"/>
          <w:szCs w:val="32"/>
        </w:rPr>
        <w:t>处理方法</w:t>
      </w:r>
      <w:r w:rsidR="00864A8C" w:rsidRPr="00D61D12">
        <w:rPr>
          <w:rFonts w:ascii="仿宋" w:eastAsia="仿宋" w:hAnsi="仿宋" w:hint="eastAsia"/>
          <w:color w:val="000000"/>
          <w:sz w:val="32"/>
          <w:szCs w:val="32"/>
        </w:rPr>
        <w:t>参考如下</w:t>
      </w:r>
      <w:r w:rsidRPr="00D61D12">
        <w:rPr>
          <w:rFonts w:ascii="仿宋" w:eastAsia="仿宋" w:hAnsi="仿宋" w:hint="eastAsia"/>
          <w:color w:val="000000"/>
          <w:sz w:val="32"/>
          <w:szCs w:val="32"/>
        </w:rPr>
        <w:t>：</w:t>
      </w:r>
    </w:p>
    <w:p w:rsidR="00DB763D" w:rsidRPr="00D61D12" w:rsidRDefault="003B40CE" w:rsidP="00375E83">
      <w:pPr>
        <w:adjustRightInd w:val="0"/>
        <w:snapToGrid w:val="0"/>
        <w:spacing w:line="360" w:lineRule="auto"/>
        <w:ind w:firstLineChars="200" w:firstLine="640"/>
        <w:rPr>
          <w:rFonts w:ascii="仿宋" w:eastAsia="仿宋" w:hAnsi="仿宋"/>
          <w:color w:val="000000"/>
          <w:sz w:val="32"/>
          <w:szCs w:val="32"/>
        </w:rPr>
      </w:pPr>
      <w:r w:rsidRPr="00D61D12">
        <w:rPr>
          <w:rFonts w:ascii="仿宋" w:eastAsia="仿宋" w:hAnsi="仿宋" w:hint="eastAsia"/>
          <w:color w:val="000000"/>
          <w:sz w:val="32"/>
          <w:szCs w:val="32"/>
        </w:rPr>
        <w:t>1</w:t>
      </w:r>
      <w:r w:rsidRPr="00D61D12">
        <w:rPr>
          <w:rFonts w:ascii="仿宋" w:eastAsia="仿宋" w:hAnsi="仿宋"/>
          <w:color w:val="000000"/>
          <w:sz w:val="32"/>
          <w:szCs w:val="32"/>
        </w:rPr>
        <w:t>.</w:t>
      </w:r>
      <w:r w:rsidR="00DB763D" w:rsidRPr="00D61D12">
        <w:rPr>
          <w:rFonts w:ascii="仿宋" w:eastAsia="仿宋" w:hAnsi="仿宋" w:hint="eastAsia"/>
          <w:color w:val="000000"/>
          <w:sz w:val="32"/>
          <w:szCs w:val="32"/>
        </w:rPr>
        <w:t>第一阶段</w:t>
      </w:r>
    </w:p>
    <w:p w:rsidR="00DB763D" w:rsidRPr="00D61D12" w:rsidRDefault="00A96EF1" w:rsidP="00375E83">
      <w:pPr>
        <w:adjustRightInd w:val="0"/>
        <w:snapToGrid w:val="0"/>
        <w:spacing w:line="360" w:lineRule="auto"/>
        <w:ind w:firstLineChars="200" w:firstLine="640"/>
        <w:rPr>
          <w:rFonts w:ascii="仿宋" w:eastAsia="仿宋" w:hAnsi="仿宋"/>
          <w:color w:val="000000"/>
          <w:sz w:val="32"/>
          <w:szCs w:val="32"/>
        </w:rPr>
      </w:pPr>
      <w:r w:rsidRPr="00D61D12">
        <w:rPr>
          <w:rFonts w:ascii="仿宋" w:eastAsia="仿宋" w:hAnsi="仿宋" w:hint="eastAsia"/>
          <w:color w:val="000000"/>
          <w:sz w:val="32"/>
          <w:szCs w:val="32"/>
        </w:rPr>
        <w:t>一般情况下，以信用风险自初始确认后未显著增加为第一阶段。</w:t>
      </w:r>
      <w:r w:rsidR="00DB763D" w:rsidRPr="00D61D12">
        <w:rPr>
          <w:rFonts w:ascii="仿宋" w:eastAsia="仿宋" w:hAnsi="仿宋" w:hint="eastAsia"/>
          <w:color w:val="000000"/>
          <w:sz w:val="32"/>
          <w:szCs w:val="32"/>
        </w:rPr>
        <w:t>对于处于该阶段的金融工具，按照未来</w:t>
      </w:r>
      <w:r w:rsidR="00DB763D" w:rsidRPr="00D61D12">
        <w:rPr>
          <w:rFonts w:ascii="仿宋" w:eastAsia="仿宋" w:hAnsi="仿宋"/>
          <w:color w:val="000000"/>
          <w:sz w:val="32"/>
          <w:szCs w:val="32"/>
        </w:rPr>
        <w:t>12个月的预期信用损失计量损失准备，并按其账面余额（即未扣除减值准备）和实际利率计算利息收入（若该工具为金融资产，下同）。</w:t>
      </w:r>
      <w:r w:rsidR="00DB763D" w:rsidRPr="00D61D12">
        <w:rPr>
          <w:rFonts w:ascii="仿宋" w:eastAsia="仿宋" w:hAnsi="仿宋" w:hint="eastAsia"/>
          <w:color w:val="000000"/>
          <w:sz w:val="32"/>
          <w:szCs w:val="32"/>
        </w:rPr>
        <w:t>需要注意的是，</w:t>
      </w:r>
      <w:r w:rsidR="00BA4AEC" w:rsidRPr="00D61D12">
        <w:rPr>
          <w:rFonts w:ascii="仿宋" w:eastAsia="仿宋" w:hAnsi="仿宋" w:hint="eastAsia"/>
          <w:color w:val="000000"/>
          <w:sz w:val="32"/>
          <w:szCs w:val="32"/>
        </w:rPr>
        <w:t>金融工具按未来期间预期信用损失计量损失准备</w:t>
      </w:r>
      <w:r w:rsidR="00DB763D" w:rsidRPr="00D61D12">
        <w:rPr>
          <w:rFonts w:ascii="仿宋" w:eastAsia="仿宋" w:hAnsi="仿宋" w:hint="eastAsia"/>
          <w:color w:val="000000"/>
          <w:sz w:val="32"/>
          <w:szCs w:val="32"/>
        </w:rPr>
        <w:t>，与按整个存续期内预期信用损失金额计量损失准备是两个不同概念。新金融工具准则规定的</w:t>
      </w:r>
      <w:r w:rsidR="00BA4AEC" w:rsidRPr="00D61D12">
        <w:rPr>
          <w:rFonts w:ascii="仿宋" w:eastAsia="仿宋" w:hAnsi="仿宋" w:hint="eastAsia"/>
          <w:color w:val="000000"/>
          <w:sz w:val="32"/>
          <w:szCs w:val="32"/>
        </w:rPr>
        <w:t>未来</w:t>
      </w:r>
      <w:r w:rsidR="00DB763D" w:rsidRPr="00D61D12">
        <w:rPr>
          <w:rFonts w:ascii="仿宋" w:eastAsia="仿宋" w:hAnsi="仿宋" w:hint="eastAsia"/>
          <w:color w:val="000000"/>
          <w:sz w:val="32"/>
          <w:szCs w:val="32"/>
        </w:rPr>
        <w:t>12个月内预期信用损失，是指因资产负债表日后12个月内</w:t>
      </w:r>
      <w:r w:rsidR="00CF54DB">
        <w:rPr>
          <w:rFonts w:ascii="仿宋" w:eastAsia="仿宋" w:hAnsi="仿宋" w:hint="eastAsia"/>
          <w:color w:val="000000"/>
          <w:sz w:val="32"/>
          <w:szCs w:val="32"/>
        </w:rPr>
        <w:t>（</w:t>
      </w:r>
      <w:r w:rsidR="00DB763D" w:rsidRPr="00D61D12">
        <w:rPr>
          <w:rFonts w:ascii="仿宋" w:eastAsia="仿宋" w:hAnsi="仿宋" w:hint="eastAsia"/>
          <w:color w:val="000000"/>
          <w:sz w:val="32"/>
          <w:szCs w:val="32"/>
        </w:rPr>
        <w:t>若金融工具的预计存续期少于12个月则为更短的存续期间）可能发生的违约事件</w:t>
      </w:r>
      <w:r w:rsidR="00BA4AEC" w:rsidRPr="00D61D12">
        <w:rPr>
          <w:rFonts w:ascii="仿宋" w:eastAsia="仿宋" w:hAnsi="仿宋" w:hint="eastAsia"/>
          <w:color w:val="000000"/>
          <w:sz w:val="32"/>
          <w:szCs w:val="32"/>
        </w:rPr>
        <w:t>，</w:t>
      </w:r>
      <w:r w:rsidR="00DB763D" w:rsidRPr="00D61D12">
        <w:rPr>
          <w:rFonts w:ascii="仿宋" w:eastAsia="仿宋" w:hAnsi="仿宋" w:hint="eastAsia"/>
          <w:color w:val="000000"/>
          <w:sz w:val="32"/>
          <w:szCs w:val="32"/>
        </w:rPr>
        <w:t>而导致的金融工具在整个存续期内现金流缺口的加权平均现值，而非发生在12个月内的现金流缺口的加权平均现值。</w:t>
      </w:r>
    </w:p>
    <w:p w:rsidR="00DB763D" w:rsidRPr="00D61D12" w:rsidRDefault="003B40CE" w:rsidP="00375E83">
      <w:pPr>
        <w:adjustRightInd w:val="0"/>
        <w:snapToGrid w:val="0"/>
        <w:spacing w:line="360" w:lineRule="auto"/>
        <w:ind w:firstLineChars="200" w:firstLine="640"/>
        <w:rPr>
          <w:rFonts w:ascii="仿宋" w:eastAsia="仿宋" w:hAnsi="仿宋"/>
          <w:color w:val="000000"/>
          <w:sz w:val="32"/>
          <w:szCs w:val="32"/>
        </w:rPr>
      </w:pPr>
      <w:r w:rsidRPr="00D61D12">
        <w:rPr>
          <w:rFonts w:ascii="仿宋" w:eastAsia="仿宋" w:hAnsi="仿宋" w:hint="eastAsia"/>
          <w:color w:val="000000"/>
          <w:sz w:val="32"/>
          <w:szCs w:val="32"/>
        </w:rPr>
        <w:t>2</w:t>
      </w:r>
      <w:r w:rsidRPr="00D61D12">
        <w:rPr>
          <w:rFonts w:ascii="仿宋" w:eastAsia="仿宋" w:hAnsi="仿宋"/>
          <w:color w:val="000000"/>
          <w:sz w:val="32"/>
          <w:szCs w:val="32"/>
        </w:rPr>
        <w:t>.</w:t>
      </w:r>
      <w:r w:rsidR="00DB763D" w:rsidRPr="00D61D12">
        <w:rPr>
          <w:rFonts w:ascii="仿宋" w:eastAsia="仿宋" w:hAnsi="仿宋" w:hint="eastAsia"/>
          <w:color w:val="000000"/>
          <w:sz w:val="32"/>
          <w:szCs w:val="32"/>
        </w:rPr>
        <w:t>第二阶段</w:t>
      </w:r>
    </w:p>
    <w:p w:rsidR="00DB763D" w:rsidRPr="00D61D12" w:rsidRDefault="00840B70" w:rsidP="00375E83">
      <w:pPr>
        <w:adjustRightInd w:val="0"/>
        <w:snapToGrid w:val="0"/>
        <w:spacing w:line="360" w:lineRule="auto"/>
        <w:ind w:firstLineChars="200" w:firstLine="640"/>
        <w:rPr>
          <w:rFonts w:ascii="仿宋" w:eastAsia="仿宋" w:hAnsi="仿宋"/>
          <w:color w:val="000000"/>
          <w:sz w:val="32"/>
          <w:szCs w:val="32"/>
        </w:rPr>
      </w:pPr>
      <w:r w:rsidRPr="00D61D12">
        <w:rPr>
          <w:rFonts w:ascii="仿宋" w:eastAsia="仿宋" w:hAnsi="仿宋" w:hint="eastAsia"/>
          <w:color w:val="000000"/>
          <w:sz w:val="32"/>
          <w:szCs w:val="32"/>
        </w:rPr>
        <w:t>一般情况下，以信用风险自初始确认后已显著增加但尚未发生信用减值为第二阶段。</w:t>
      </w:r>
      <w:r w:rsidR="00DB763D" w:rsidRPr="00D61D12">
        <w:rPr>
          <w:rFonts w:ascii="仿宋" w:eastAsia="仿宋" w:hAnsi="仿宋" w:hint="eastAsia"/>
          <w:color w:val="000000"/>
          <w:sz w:val="32"/>
          <w:szCs w:val="32"/>
        </w:rPr>
        <w:t>对处于该阶段的金融工具，按照该工具</w:t>
      </w:r>
      <w:r w:rsidR="00DB763D" w:rsidRPr="00D61D12">
        <w:rPr>
          <w:rFonts w:ascii="仿宋" w:eastAsia="仿宋" w:hAnsi="仿宋" w:hint="eastAsia"/>
          <w:color w:val="000000"/>
          <w:sz w:val="32"/>
          <w:szCs w:val="32"/>
        </w:rPr>
        <w:lastRenderedPageBreak/>
        <w:t xml:space="preserve">整个存续期的预期信用损失计量损失准备，并按其账面余额和实际利率计算利息收入。 </w:t>
      </w:r>
    </w:p>
    <w:p w:rsidR="00DB763D" w:rsidRPr="00D61D12" w:rsidRDefault="003B40CE" w:rsidP="00375E83">
      <w:pPr>
        <w:adjustRightInd w:val="0"/>
        <w:snapToGrid w:val="0"/>
        <w:spacing w:line="360" w:lineRule="auto"/>
        <w:ind w:firstLineChars="200" w:firstLine="640"/>
        <w:rPr>
          <w:rFonts w:ascii="仿宋" w:eastAsia="仿宋" w:hAnsi="仿宋"/>
          <w:color w:val="000000"/>
          <w:sz w:val="32"/>
          <w:szCs w:val="32"/>
        </w:rPr>
      </w:pPr>
      <w:r w:rsidRPr="00D61D12">
        <w:rPr>
          <w:rFonts w:ascii="仿宋" w:eastAsia="仿宋" w:hAnsi="仿宋" w:hint="eastAsia"/>
          <w:color w:val="000000"/>
          <w:sz w:val="32"/>
          <w:szCs w:val="32"/>
        </w:rPr>
        <w:t>3</w:t>
      </w:r>
      <w:r w:rsidRPr="00D61D12">
        <w:rPr>
          <w:rFonts w:ascii="仿宋" w:eastAsia="仿宋" w:hAnsi="仿宋"/>
          <w:color w:val="000000"/>
          <w:sz w:val="32"/>
          <w:szCs w:val="32"/>
        </w:rPr>
        <w:t>.</w:t>
      </w:r>
      <w:r w:rsidR="00DB763D" w:rsidRPr="00D61D12">
        <w:rPr>
          <w:rFonts w:ascii="仿宋" w:eastAsia="仿宋" w:hAnsi="仿宋" w:hint="eastAsia"/>
          <w:color w:val="000000"/>
          <w:sz w:val="32"/>
          <w:szCs w:val="32"/>
        </w:rPr>
        <w:t>第三阶段</w:t>
      </w:r>
    </w:p>
    <w:p w:rsidR="00DB763D" w:rsidRPr="00D61D12" w:rsidRDefault="005D4563" w:rsidP="00375E83">
      <w:pPr>
        <w:adjustRightInd w:val="0"/>
        <w:snapToGrid w:val="0"/>
        <w:spacing w:line="360" w:lineRule="auto"/>
        <w:ind w:firstLineChars="200" w:firstLine="640"/>
        <w:rPr>
          <w:rFonts w:ascii="仿宋" w:eastAsia="仿宋" w:hAnsi="仿宋"/>
          <w:color w:val="000000"/>
          <w:sz w:val="32"/>
          <w:szCs w:val="32"/>
        </w:rPr>
      </w:pPr>
      <w:r w:rsidRPr="00D61D12">
        <w:rPr>
          <w:rFonts w:ascii="仿宋" w:eastAsia="仿宋" w:hAnsi="仿宋" w:hint="eastAsia"/>
          <w:color w:val="000000"/>
          <w:sz w:val="32"/>
          <w:szCs w:val="32"/>
        </w:rPr>
        <w:t>一般情况下，</w:t>
      </w:r>
      <w:r w:rsidR="00BE3CA5" w:rsidRPr="00D61D12">
        <w:rPr>
          <w:rFonts w:ascii="仿宋" w:eastAsia="仿宋" w:hAnsi="仿宋" w:hint="eastAsia"/>
          <w:color w:val="000000"/>
          <w:sz w:val="32"/>
          <w:szCs w:val="32"/>
        </w:rPr>
        <w:t>以初始确认后发生信用减值为第三阶段。</w:t>
      </w:r>
      <w:r w:rsidR="00DB763D" w:rsidRPr="00D61D12">
        <w:rPr>
          <w:rFonts w:ascii="仿宋" w:eastAsia="仿宋" w:hAnsi="仿宋" w:hint="eastAsia"/>
          <w:color w:val="000000"/>
          <w:sz w:val="32"/>
          <w:szCs w:val="32"/>
        </w:rPr>
        <w:t>对于处于该阶段的金融工具，按照该工具整个存续期的预期信用损失计量损失准备</w:t>
      </w:r>
      <w:r w:rsidRPr="00D61D12">
        <w:rPr>
          <w:rFonts w:ascii="仿宋" w:eastAsia="仿宋" w:hAnsi="仿宋" w:hint="eastAsia"/>
          <w:color w:val="000000"/>
          <w:sz w:val="32"/>
          <w:szCs w:val="32"/>
        </w:rPr>
        <w:t>。</w:t>
      </w:r>
      <w:r w:rsidR="00DB763D" w:rsidRPr="00D61D12">
        <w:rPr>
          <w:rFonts w:ascii="仿宋" w:eastAsia="仿宋" w:hAnsi="仿宋" w:hint="eastAsia"/>
          <w:color w:val="000000"/>
          <w:sz w:val="32"/>
          <w:szCs w:val="32"/>
        </w:rPr>
        <w:t>对利息收入的计算</w:t>
      </w:r>
      <w:r w:rsidRPr="00D61D12">
        <w:rPr>
          <w:rFonts w:ascii="仿宋" w:eastAsia="仿宋" w:hAnsi="仿宋" w:hint="eastAsia"/>
          <w:color w:val="000000"/>
          <w:sz w:val="32"/>
          <w:szCs w:val="32"/>
        </w:rPr>
        <w:t>则有别</w:t>
      </w:r>
      <w:r w:rsidR="00DB763D" w:rsidRPr="00D61D12">
        <w:rPr>
          <w:rFonts w:ascii="仿宋" w:eastAsia="仿宋" w:hAnsi="仿宋" w:hint="eastAsia"/>
          <w:color w:val="000000"/>
          <w:sz w:val="32"/>
          <w:szCs w:val="32"/>
        </w:rPr>
        <w:t>于前两阶段</w:t>
      </w:r>
      <w:r w:rsidRPr="00D61D12">
        <w:rPr>
          <w:rFonts w:ascii="仿宋" w:eastAsia="仿宋" w:hAnsi="仿宋" w:hint="eastAsia"/>
          <w:color w:val="000000"/>
          <w:sz w:val="32"/>
          <w:szCs w:val="32"/>
        </w:rPr>
        <w:t>，即</w:t>
      </w:r>
      <w:r w:rsidR="00DB763D" w:rsidRPr="00D61D12">
        <w:rPr>
          <w:rFonts w:ascii="仿宋" w:eastAsia="仿宋" w:hAnsi="仿宋" w:hint="eastAsia"/>
          <w:color w:val="000000"/>
          <w:sz w:val="32"/>
          <w:szCs w:val="32"/>
        </w:rPr>
        <w:t>按其摊余成本（账面</w:t>
      </w:r>
      <w:proofErr w:type="gramStart"/>
      <w:r w:rsidR="00DB763D" w:rsidRPr="00D61D12">
        <w:rPr>
          <w:rFonts w:ascii="仿宋" w:eastAsia="仿宋" w:hAnsi="仿宋" w:hint="eastAsia"/>
          <w:color w:val="000000"/>
          <w:sz w:val="32"/>
          <w:szCs w:val="32"/>
        </w:rPr>
        <w:t>余额减已计提</w:t>
      </w:r>
      <w:proofErr w:type="gramEnd"/>
      <w:r w:rsidR="00DB763D" w:rsidRPr="00D61D12">
        <w:rPr>
          <w:rFonts w:ascii="仿宋" w:eastAsia="仿宋" w:hAnsi="仿宋" w:hint="eastAsia"/>
          <w:color w:val="000000"/>
          <w:sz w:val="32"/>
          <w:szCs w:val="32"/>
        </w:rPr>
        <w:t xml:space="preserve">减值准备，也即账面价值）和实际利率计算利息收入。 </w:t>
      </w:r>
    </w:p>
    <w:p w:rsidR="003B40CE" w:rsidRPr="00D61D12" w:rsidRDefault="00DB763D" w:rsidP="00375E83">
      <w:pPr>
        <w:adjustRightInd w:val="0"/>
        <w:snapToGrid w:val="0"/>
        <w:spacing w:line="360" w:lineRule="auto"/>
        <w:ind w:firstLineChars="200" w:firstLine="640"/>
        <w:rPr>
          <w:rFonts w:ascii="仿宋" w:eastAsia="仿宋" w:hAnsi="仿宋"/>
          <w:color w:val="000000"/>
          <w:sz w:val="32"/>
          <w:szCs w:val="32"/>
        </w:rPr>
      </w:pPr>
      <w:r w:rsidRPr="00D61D12">
        <w:rPr>
          <w:rFonts w:ascii="仿宋" w:eastAsia="仿宋" w:hAnsi="仿宋" w:hint="eastAsia"/>
          <w:color w:val="000000"/>
          <w:sz w:val="32"/>
          <w:szCs w:val="32"/>
        </w:rPr>
        <w:t>三阶段相互转化涉及较多的主观判断，应当考虑以合理成本即可获得的信息，即无须付出不必要的额外成本或努力就可以获得的信息加以判断信用风险的变化。因此，获取逾期信息、违约信息以及按照组合为基础的评估可能会节约评估成本。新金融工具准则指南第十一章对于评估信用风险变化所要考虑的因素，列举了15种情况，在可能的情况下，应综合考虑多种因素。</w:t>
      </w:r>
    </w:p>
    <w:p w:rsidR="003B40CE" w:rsidRPr="00375E83" w:rsidRDefault="003B40CE" w:rsidP="00375E83">
      <w:pPr>
        <w:adjustRightInd w:val="0"/>
        <w:snapToGrid w:val="0"/>
        <w:spacing w:line="360" w:lineRule="auto"/>
        <w:ind w:firstLineChars="200" w:firstLine="643"/>
        <w:rPr>
          <w:rFonts w:ascii="楷体" w:eastAsia="楷体" w:hAnsi="楷体" w:cs="Times New Roman"/>
          <w:b/>
          <w:color w:val="000000"/>
          <w:sz w:val="32"/>
          <w:szCs w:val="32"/>
        </w:rPr>
      </w:pPr>
      <w:r w:rsidRPr="00375E83">
        <w:rPr>
          <w:rFonts w:ascii="楷体" w:eastAsia="楷体" w:hAnsi="楷体" w:cs="Times New Roman" w:hint="eastAsia"/>
          <w:b/>
          <w:color w:val="000000"/>
          <w:sz w:val="32"/>
          <w:szCs w:val="32"/>
        </w:rPr>
        <w:t>（二）对于</w:t>
      </w:r>
      <w:proofErr w:type="gramStart"/>
      <w:r w:rsidRPr="00375E83">
        <w:rPr>
          <w:rFonts w:ascii="楷体" w:eastAsia="楷体" w:hAnsi="楷体" w:cs="Times New Roman" w:hint="eastAsia"/>
          <w:b/>
          <w:color w:val="000000"/>
          <w:sz w:val="32"/>
          <w:szCs w:val="32"/>
        </w:rPr>
        <w:t>购买或源生</w:t>
      </w:r>
      <w:proofErr w:type="gramEnd"/>
      <w:r w:rsidRPr="00375E83">
        <w:rPr>
          <w:rFonts w:ascii="楷体" w:eastAsia="楷体" w:hAnsi="楷体" w:cs="Times New Roman" w:hint="eastAsia"/>
          <w:b/>
          <w:color w:val="000000"/>
          <w:sz w:val="32"/>
          <w:szCs w:val="32"/>
        </w:rPr>
        <w:t>时已发生信用减值的金融资产</w:t>
      </w:r>
    </w:p>
    <w:p w:rsidR="00DB763D" w:rsidRPr="00D61D12" w:rsidRDefault="003B40CE" w:rsidP="00375E83">
      <w:pPr>
        <w:adjustRightInd w:val="0"/>
        <w:snapToGrid w:val="0"/>
        <w:spacing w:line="360" w:lineRule="auto"/>
        <w:ind w:firstLineChars="200" w:firstLine="640"/>
        <w:rPr>
          <w:rFonts w:ascii="仿宋" w:eastAsia="仿宋" w:hAnsi="仿宋"/>
          <w:color w:val="000000"/>
          <w:sz w:val="32"/>
          <w:szCs w:val="32"/>
        </w:rPr>
      </w:pPr>
      <w:r w:rsidRPr="00D61D12">
        <w:rPr>
          <w:rFonts w:ascii="仿宋" w:eastAsia="仿宋" w:hAnsi="仿宋" w:hint="eastAsia"/>
          <w:color w:val="000000"/>
          <w:sz w:val="32"/>
          <w:szCs w:val="32"/>
        </w:rPr>
        <w:t>对于</w:t>
      </w:r>
      <w:proofErr w:type="gramStart"/>
      <w:r w:rsidRPr="00D61D12">
        <w:rPr>
          <w:rFonts w:ascii="仿宋" w:eastAsia="仿宋" w:hAnsi="仿宋" w:hint="eastAsia"/>
          <w:color w:val="000000"/>
          <w:sz w:val="32"/>
          <w:szCs w:val="32"/>
        </w:rPr>
        <w:t>购买或源生</w:t>
      </w:r>
      <w:proofErr w:type="gramEnd"/>
      <w:r w:rsidRPr="00D61D12">
        <w:rPr>
          <w:rFonts w:ascii="仿宋" w:eastAsia="仿宋" w:hAnsi="仿宋" w:hint="eastAsia"/>
          <w:color w:val="000000"/>
          <w:sz w:val="32"/>
          <w:szCs w:val="32"/>
        </w:rPr>
        <w:t>时已发生信用减值的金融资产，应仅将初始确认后整个存续期内预期信用损失的变动确认为损失准备，并按其摊</w:t>
      </w:r>
      <w:proofErr w:type="gramStart"/>
      <w:r w:rsidRPr="00D61D12">
        <w:rPr>
          <w:rFonts w:ascii="仿宋" w:eastAsia="仿宋" w:hAnsi="仿宋" w:hint="eastAsia"/>
          <w:color w:val="000000"/>
          <w:sz w:val="32"/>
          <w:szCs w:val="32"/>
        </w:rPr>
        <w:t>余成本</w:t>
      </w:r>
      <w:proofErr w:type="gramEnd"/>
      <w:r w:rsidRPr="00D61D12">
        <w:rPr>
          <w:rFonts w:ascii="仿宋" w:eastAsia="仿宋" w:hAnsi="仿宋" w:hint="eastAsia"/>
          <w:color w:val="000000"/>
          <w:sz w:val="32"/>
          <w:szCs w:val="32"/>
        </w:rPr>
        <w:t>和经信用调整的实际利率计算利息收入。</w:t>
      </w:r>
    </w:p>
    <w:p w:rsidR="00DB763D" w:rsidRPr="00375E83" w:rsidRDefault="00210950" w:rsidP="00375E83">
      <w:pPr>
        <w:adjustRightInd w:val="0"/>
        <w:snapToGrid w:val="0"/>
        <w:spacing w:line="360" w:lineRule="auto"/>
        <w:ind w:firstLineChars="200" w:firstLine="640"/>
        <w:rPr>
          <w:rFonts w:ascii="黑体" w:eastAsia="黑体" w:hAnsi="黑体" w:cs="Times New Roman"/>
          <w:sz w:val="32"/>
          <w:szCs w:val="32"/>
        </w:rPr>
      </w:pPr>
      <w:r w:rsidRPr="00375E83">
        <w:rPr>
          <w:rFonts w:ascii="黑体" w:eastAsia="黑体" w:hAnsi="黑体" w:cs="Times New Roman" w:hint="eastAsia"/>
          <w:sz w:val="32"/>
          <w:szCs w:val="32"/>
        </w:rPr>
        <w:t>二</w:t>
      </w:r>
      <w:r w:rsidRPr="00375E83">
        <w:rPr>
          <w:rFonts w:ascii="黑体" w:eastAsia="黑体" w:hAnsi="黑体" w:cs="Times New Roman"/>
          <w:sz w:val="32"/>
          <w:szCs w:val="32"/>
        </w:rPr>
        <w:t>、</w:t>
      </w:r>
      <w:r w:rsidR="00DB763D" w:rsidRPr="00375E83">
        <w:rPr>
          <w:rFonts w:ascii="黑体" w:eastAsia="黑体" w:hAnsi="黑体" w:cs="Times New Roman" w:hint="eastAsia"/>
          <w:sz w:val="32"/>
          <w:szCs w:val="32"/>
        </w:rPr>
        <w:t>金融工具减值简化处理的情形</w:t>
      </w:r>
    </w:p>
    <w:p w:rsidR="00375E83" w:rsidRPr="00D61D12" w:rsidRDefault="00DB763D" w:rsidP="00CF54DB">
      <w:pPr>
        <w:pStyle w:val="a5"/>
        <w:snapToGrid w:val="0"/>
        <w:spacing w:line="360" w:lineRule="auto"/>
        <w:ind w:firstLineChars="200" w:firstLine="640"/>
        <w:rPr>
          <w:rFonts w:ascii="仿宋" w:eastAsia="仿宋" w:hAnsi="仿宋" w:cstheme="minorBidi"/>
          <w:color w:val="000000"/>
          <w:sz w:val="32"/>
          <w:szCs w:val="32"/>
        </w:rPr>
      </w:pPr>
      <w:r w:rsidRPr="00D61D12">
        <w:rPr>
          <w:rFonts w:ascii="仿宋" w:eastAsia="仿宋" w:hAnsi="仿宋" w:hint="eastAsia"/>
          <w:sz w:val="32"/>
          <w:szCs w:val="32"/>
        </w:rPr>
        <w:t>新</w:t>
      </w:r>
      <w:r w:rsidR="009E6A9E" w:rsidRPr="00D61D12">
        <w:rPr>
          <w:rFonts w:ascii="仿宋" w:eastAsia="仿宋" w:hAnsi="仿宋" w:hint="eastAsia"/>
          <w:sz w:val="32"/>
          <w:szCs w:val="32"/>
        </w:rPr>
        <w:t>金融</w:t>
      </w:r>
      <w:r w:rsidRPr="00D61D12">
        <w:rPr>
          <w:rFonts w:ascii="仿宋" w:eastAsia="仿宋" w:hAnsi="仿宋" w:hint="eastAsia"/>
          <w:sz w:val="32"/>
          <w:szCs w:val="32"/>
        </w:rPr>
        <w:t>准则出于简化会计处理、兼顾现行实务的考虑，还规定了两类特殊情形。</w:t>
      </w:r>
      <w:r w:rsidRPr="00D61D12">
        <w:rPr>
          <w:rFonts w:ascii="仿宋" w:eastAsia="仿宋" w:hAnsi="仿宋" w:cstheme="minorBidi" w:hint="eastAsia"/>
          <w:color w:val="000000"/>
          <w:sz w:val="32"/>
          <w:szCs w:val="32"/>
        </w:rPr>
        <w:t>在这两类情形下，无需就金融工具初始确认时的信用风险与资产负债表日的信用风险进行比较分析：</w:t>
      </w:r>
    </w:p>
    <w:p w:rsidR="00DB763D" w:rsidRPr="00375E83" w:rsidRDefault="00210950" w:rsidP="00375E83">
      <w:pPr>
        <w:adjustRightInd w:val="0"/>
        <w:snapToGrid w:val="0"/>
        <w:spacing w:line="360" w:lineRule="auto"/>
        <w:ind w:firstLineChars="200" w:firstLine="643"/>
        <w:rPr>
          <w:rFonts w:ascii="楷体" w:eastAsia="楷体" w:hAnsi="楷体" w:cs="Times New Roman"/>
          <w:b/>
          <w:color w:val="000000"/>
          <w:sz w:val="32"/>
          <w:szCs w:val="32"/>
        </w:rPr>
      </w:pPr>
      <w:r w:rsidRPr="00375E83">
        <w:rPr>
          <w:rFonts w:ascii="楷体" w:eastAsia="楷体" w:hAnsi="楷体" w:cs="Times New Roman" w:hint="eastAsia"/>
          <w:b/>
          <w:color w:val="000000"/>
          <w:sz w:val="32"/>
          <w:szCs w:val="32"/>
        </w:rPr>
        <w:lastRenderedPageBreak/>
        <w:t>（一）</w:t>
      </w:r>
      <w:r w:rsidR="00DB763D" w:rsidRPr="00375E83">
        <w:rPr>
          <w:rFonts w:ascii="楷体" w:eastAsia="楷体" w:hAnsi="楷体" w:cs="Times New Roman" w:hint="eastAsia"/>
          <w:b/>
          <w:color w:val="000000"/>
          <w:sz w:val="32"/>
          <w:szCs w:val="32"/>
        </w:rPr>
        <w:t>较低信用风险</w:t>
      </w:r>
    </w:p>
    <w:p w:rsidR="00DB763D" w:rsidRPr="00D61D12" w:rsidRDefault="00DB763D" w:rsidP="00375E83">
      <w:pPr>
        <w:pStyle w:val="a5"/>
        <w:snapToGrid w:val="0"/>
        <w:spacing w:line="360" w:lineRule="auto"/>
        <w:ind w:firstLineChars="200" w:firstLine="640"/>
        <w:rPr>
          <w:rFonts w:ascii="仿宋" w:eastAsia="仿宋" w:hAnsi="仿宋" w:cstheme="minorBidi"/>
          <w:color w:val="000000"/>
          <w:sz w:val="32"/>
          <w:szCs w:val="32"/>
        </w:rPr>
      </w:pPr>
      <w:r w:rsidRPr="00D61D12">
        <w:rPr>
          <w:rFonts w:ascii="仿宋" w:eastAsia="仿宋" w:hAnsi="仿宋" w:cstheme="minorBidi" w:hint="eastAsia"/>
          <w:color w:val="000000"/>
          <w:sz w:val="32"/>
          <w:szCs w:val="32"/>
        </w:rPr>
        <w:t>如果企业确定金融工具的违约风险较低，借款人在短期内履行其支付合同现金流量义务的能力很强，并且即使较长时期内经济形势和经营环境存在不利变化，也不一定会降低借款人履行其支付合同现金流量义务的能力，那么该金融工具可被视为具有较低的信用风险。例如，企业在具有较高信用评级的商业银行的定期存款可能被视为具有较低的信用风险。企业对这种简化处理有选择权。</w:t>
      </w:r>
    </w:p>
    <w:p w:rsidR="00DB763D" w:rsidRPr="00375E83" w:rsidRDefault="00210950" w:rsidP="00375E83">
      <w:pPr>
        <w:adjustRightInd w:val="0"/>
        <w:snapToGrid w:val="0"/>
        <w:spacing w:line="360" w:lineRule="auto"/>
        <w:ind w:firstLineChars="200" w:firstLine="643"/>
        <w:rPr>
          <w:rFonts w:ascii="楷体" w:eastAsia="楷体" w:hAnsi="楷体" w:cs="Times New Roman"/>
          <w:b/>
          <w:color w:val="000000"/>
          <w:sz w:val="32"/>
          <w:szCs w:val="32"/>
        </w:rPr>
      </w:pPr>
      <w:r w:rsidRPr="00375E83">
        <w:rPr>
          <w:rFonts w:ascii="楷体" w:eastAsia="楷体" w:hAnsi="楷体" w:cs="Times New Roman" w:hint="eastAsia"/>
          <w:b/>
          <w:color w:val="000000"/>
          <w:sz w:val="32"/>
          <w:szCs w:val="32"/>
        </w:rPr>
        <w:t>（二）</w:t>
      </w:r>
      <w:r w:rsidR="00DB763D" w:rsidRPr="00375E83">
        <w:rPr>
          <w:rFonts w:ascii="楷体" w:eastAsia="楷体" w:hAnsi="楷体" w:cs="Times New Roman" w:hint="eastAsia"/>
          <w:b/>
          <w:color w:val="000000"/>
          <w:sz w:val="32"/>
          <w:szCs w:val="32"/>
        </w:rPr>
        <w:t>应收款项、租赁应收款和合同资产</w:t>
      </w:r>
    </w:p>
    <w:p w:rsidR="00DB763D" w:rsidRPr="00D61D12" w:rsidRDefault="00DB763D" w:rsidP="00C76033">
      <w:pPr>
        <w:pStyle w:val="a5"/>
        <w:snapToGrid w:val="0"/>
        <w:spacing w:line="360" w:lineRule="auto"/>
        <w:ind w:firstLineChars="200" w:firstLine="640"/>
        <w:rPr>
          <w:rFonts w:ascii="仿宋" w:eastAsia="仿宋" w:hAnsi="仿宋" w:cstheme="minorBidi"/>
          <w:color w:val="000000"/>
          <w:sz w:val="32"/>
          <w:szCs w:val="32"/>
        </w:rPr>
      </w:pPr>
      <w:r w:rsidRPr="00D61D12">
        <w:rPr>
          <w:rFonts w:ascii="仿宋" w:eastAsia="仿宋" w:hAnsi="仿宋" w:cstheme="minorBidi" w:hint="eastAsia"/>
          <w:color w:val="000000"/>
          <w:sz w:val="32"/>
          <w:szCs w:val="32"/>
        </w:rPr>
        <w:t>企业对于由《企业会计准则第 14 号——收入》规范的交易所形成的不含重大融资成分（包括根据该准则不考虑不超过一年的合同中融资成分的情况）的应收款项和合同资产，应当始终按照整个存续期内预期信用损失的金额计量其损失准备</w:t>
      </w:r>
      <w:r w:rsidR="00CC417B" w:rsidRPr="00D61D12">
        <w:rPr>
          <w:rFonts w:ascii="仿宋" w:eastAsia="仿宋" w:hAnsi="仿宋" w:cstheme="minorBidi" w:hint="eastAsia"/>
          <w:color w:val="000000"/>
          <w:sz w:val="32"/>
          <w:szCs w:val="32"/>
        </w:rPr>
        <w:t>。</w:t>
      </w:r>
      <w:r w:rsidRPr="00D61D12">
        <w:rPr>
          <w:rFonts w:ascii="仿宋" w:eastAsia="仿宋" w:hAnsi="仿宋" w:cstheme="minorBidi" w:hint="eastAsia"/>
          <w:color w:val="000000"/>
          <w:sz w:val="32"/>
          <w:szCs w:val="32"/>
        </w:rPr>
        <w:t>企业对这种简化处理没有选择权。</w:t>
      </w:r>
    </w:p>
    <w:p w:rsidR="00DB763D" w:rsidRPr="00D61D12" w:rsidRDefault="00DB763D" w:rsidP="00C76033">
      <w:pPr>
        <w:pStyle w:val="a5"/>
        <w:snapToGrid w:val="0"/>
        <w:spacing w:line="360" w:lineRule="auto"/>
        <w:ind w:firstLineChars="200" w:firstLine="640"/>
        <w:rPr>
          <w:rFonts w:ascii="仿宋" w:eastAsia="仿宋" w:hAnsi="仿宋" w:cstheme="minorBidi"/>
          <w:color w:val="000000"/>
          <w:sz w:val="32"/>
          <w:szCs w:val="32"/>
        </w:rPr>
      </w:pPr>
      <w:bookmarkStart w:id="0" w:name="_GoBack"/>
      <w:r w:rsidRPr="00175852">
        <w:rPr>
          <w:rFonts w:ascii="仿宋" w:eastAsia="仿宋" w:hAnsi="仿宋" w:hint="eastAsia"/>
          <w:color w:val="000000"/>
          <w:sz w:val="32"/>
        </w:rPr>
        <w:t>对于由《企业会计准则第</w:t>
      </w:r>
      <w:r w:rsidRPr="00175852">
        <w:rPr>
          <w:rFonts w:ascii="仿宋" w:eastAsia="仿宋" w:hAnsi="仿宋"/>
          <w:color w:val="000000"/>
          <w:sz w:val="32"/>
        </w:rPr>
        <w:t>14</w:t>
      </w:r>
      <w:r w:rsidRPr="00175852">
        <w:rPr>
          <w:rFonts w:ascii="仿宋" w:eastAsia="仿宋" w:hAnsi="仿宋" w:hint="eastAsia"/>
          <w:color w:val="000000"/>
          <w:sz w:val="32"/>
        </w:rPr>
        <w:t>号——收入》规范的交易所形成的包含重大融资成分的应收款项、合同资产，以及由《企业会计准则第</w:t>
      </w:r>
      <w:r w:rsidRPr="00175852">
        <w:rPr>
          <w:rFonts w:ascii="仿宋" w:eastAsia="仿宋" w:hAnsi="仿宋"/>
          <w:color w:val="000000"/>
          <w:sz w:val="32"/>
        </w:rPr>
        <w:t>21号-租</w:t>
      </w:r>
      <w:r w:rsidRPr="00175852">
        <w:rPr>
          <w:rFonts w:ascii="仿宋" w:eastAsia="仿宋" w:hAnsi="仿宋" w:hint="eastAsia"/>
          <w:color w:val="000000"/>
          <w:sz w:val="32"/>
        </w:rPr>
        <w:t>赁</w:t>
      </w:r>
      <w:r w:rsidRPr="00175852">
        <w:rPr>
          <w:rFonts w:ascii="仿宋" w:eastAsia="仿宋" w:hAnsi="仿宋"/>
          <w:color w:val="000000"/>
          <w:sz w:val="32"/>
        </w:rPr>
        <w:t>》规范的</w:t>
      </w:r>
      <w:r w:rsidRPr="00175852">
        <w:rPr>
          <w:rFonts w:ascii="仿宋" w:eastAsia="仿宋" w:hAnsi="仿宋" w:hint="eastAsia"/>
          <w:color w:val="000000"/>
          <w:sz w:val="32"/>
        </w:rPr>
        <w:t>交易形成的</w:t>
      </w:r>
      <w:r w:rsidRPr="00175852">
        <w:rPr>
          <w:rFonts w:ascii="仿宋" w:eastAsia="仿宋" w:hAnsi="仿宋"/>
          <w:color w:val="000000"/>
          <w:sz w:val="32"/>
        </w:rPr>
        <w:t>租赁应收款，</w:t>
      </w:r>
      <w:r w:rsidR="00FC372B" w:rsidRPr="00175852">
        <w:rPr>
          <w:rFonts w:ascii="仿宋" w:eastAsia="仿宋" w:hAnsi="仿宋" w:hint="eastAsia"/>
          <w:color w:val="000000"/>
          <w:sz w:val="32"/>
        </w:rPr>
        <w:t>企业可以做出</w:t>
      </w:r>
      <w:r w:rsidR="00FC372B" w:rsidRPr="00175852">
        <w:rPr>
          <w:rFonts w:ascii="仿宋" w:eastAsia="仿宋" w:hAnsi="仿宋"/>
          <w:color w:val="000000"/>
          <w:sz w:val="32"/>
        </w:rPr>
        <w:t>按照相当于整个存续期内预期信用损失的金额计量其损失准备</w:t>
      </w:r>
      <w:r w:rsidR="00FC372B" w:rsidRPr="00175852">
        <w:rPr>
          <w:rFonts w:ascii="仿宋" w:eastAsia="仿宋" w:hAnsi="仿宋" w:hint="eastAsia"/>
          <w:color w:val="000000"/>
          <w:sz w:val="32"/>
        </w:rPr>
        <w:t>的会计选择</w:t>
      </w:r>
      <w:r w:rsidRPr="00175852">
        <w:rPr>
          <w:rFonts w:ascii="仿宋" w:eastAsia="仿宋" w:hAnsi="仿宋"/>
          <w:color w:val="000000"/>
          <w:sz w:val="32"/>
        </w:rPr>
        <w:t>。</w:t>
      </w:r>
      <w:r w:rsidRPr="00175852">
        <w:rPr>
          <w:rFonts w:ascii="仿宋" w:eastAsia="仿宋" w:hAnsi="仿宋" w:hint="eastAsia"/>
          <w:color w:val="000000"/>
          <w:sz w:val="32"/>
        </w:rPr>
        <w:t>企业可以对应收款项类、合同资产类、应收融资租赁款和应收经营租赁款分别</w:t>
      </w:r>
      <w:r w:rsidR="00FC372B" w:rsidRPr="00175852">
        <w:rPr>
          <w:rFonts w:ascii="仿宋" w:eastAsia="仿宋" w:hAnsi="仿宋" w:hint="eastAsia"/>
          <w:color w:val="000000"/>
          <w:sz w:val="32"/>
        </w:rPr>
        <w:t>做出</w:t>
      </w:r>
      <w:r w:rsidRPr="00175852">
        <w:rPr>
          <w:rFonts w:ascii="仿宋" w:eastAsia="仿宋" w:hAnsi="仿宋" w:hint="eastAsia"/>
          <w:color w:val="000000"/>
          <w:sz w:val="32"/>
        </w:rPr>
        <w:t>会计政策选择，但应当将该类会计政策选择适用于所有此类应收款项、合同资产和租赁应收款。</w:t>
      </w:r>
      <w:bookmarkEnd w:id="0"/>
    </w:p>
    <w:p w:rsidR="00DB763D" w:rsidRPr="00D61D12" w:rsidRDefault="00DB763D" w:rsidP="00375E83">
      <w:pPr>
        <w:pStyle w:val="a5"/>
        <w:snapToGrid w:val="0"/>
        <w:spacing w:line="360" w:lineRule="auto"/>
        <w:ind w:firstLineChars="200" w:firstLine="640"/>
        <w:rPr>
          <w:rFonts w:ascii="仿宋" w:eastAsia="仿宋" w:hAnsi="仿宋" w:cstheme="minorBidi"/>
          <w:color w:val="000000"/>
          <w:sz w:val="32"/>
          <w:szCs w:val="32"/>
        </w:rPr>
      </w:pPr>
      <w:r w:rsidRPr="00D61D12">
        <w:rPr>
          <w:rFonts w:ascii="仿宋" w:eastAsia="仿宋" w:hAnsi="仿宋" w:cstheme="minorBidi" w:hint="eastAsia"/>
          <w:color w:val="000000"/>
          <w:sz w:val="32"/>
          <w:szCs w:val="32"/>
        </w:rPr>
        <w:lastRenderedPageBreak/>
        <w:t>综上，</w:t>
      </w:r>
      <w:r w:rsidR="00CC417B" w:rsidRPr="00D61D12">
        <w:rPr>
          <w:rFonts w:ascii="仿宋" w:eastAsia="仿宋" w:hAnsi="仿宋" w:cstheme="minorBidi" w:hint="eastAsia"/>
          <w:color w:val="000000"/>
          <w:sz w:val="32"/>
          <w:szCs w:val="32"/>
        </w:rPr>
        <w:t>可将</w:t>
      </w:r>
      <w:r w:rsidRPr="00D61D12">
        <w:rPr>
          <w:rFonts w:ascii="仿宋" w:eastAsia="仿宋" w:hAnsi="仿宋" w:cstheme="minorBidi" w:hint="eastAsia"/>
          <w:color w:val="000000"/>
          <w:sz w:val="32"/>
          <w:szCs w:val="32"/>
        </w:rPr>
        <w:t>金融工具减值的判断和会计处理流程</w:t>
      </w:r>
      <w:r w:rsidR="00CC417B" w:rsidRPr="00D61D12">
        <w:rPr>
          <w:rFonts w:ascii="仿宋" w:eastAsia="仿宋" w:hAnsi="仿宋" w:cstheme="minorBidi" w:hint="eastAsia"/>
          <w:color w:val="000000"/>
          <w:sz w:val="32"/>
          <w:szCs w:val="32"/>
        </w:rPr>
        <w:t>概括</w:t>
      </w:r>
      <w:r w:rsidRPr="00D61D12">
        <w:rPr>
          <w:rFonts w:ascii="仿宋" w:eastAsia="仿宋" w:hAnsi="仿宋" w:cstheme="minorBidi" w:hint="eastAsia"/>
          <w:color w:val="000000"/>
          <w:sz w:val="32"/>
          <w:szCs w:val="32"/>
        </w:rPr>
        <w:t>如下图：</w:t>
      </w:r>
    </w:p>
    <w:p w:rsidR="00DB763D" w:rsidRPr="00375E83" w:rsidRDefault="00E910EA" w:rsidP="00375E83">
      <w:pPr>
        <w:pStyle w:val="a5"/>
        <w:snapToGrid w:val="0"/>
        <w:spacing w:line="360" w:lineRule="auto"/>
        <w:ind w:firstLineChars="200" w:firstLine="640"/>
        <w:rPr>
          <w:rFonts w:ascii="仿宋" w:eastAsia="仿宋" w:hAnsi="仿宋"/>
          <w:color w:val="000000"/>
          <w:sz w:val="32"/>
        </w:rPr>
      </w:pPr>
      <w:r>
        <w:rPr>
          <w:rFonts w:ascii="仿宋" w:eastAsia="仿宋" w:hAnsi="仿宋"/>
          <w:color w:val="000000"/>
          <w:sz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8pt;margin-top:9.75pt;width:414.9pt;height:304.55pt;z-index:251659264;mso-width-relative:page;mso-height-relative:page">
            <v:imagedata r:id="rId6" o:title=""/>
          </v:shape>
          <o:OLEObject Type="Embed" ProgID="Visio.Drawing.11" ShapeID="_x0000_s1026" DrawAspect="Content" ObjectID="_1650541316" r:id="rId7"/>
        </w:object>
      </w:r>
    </w:p>
    <w:p w:rsidR="0001128D" w:rsidRPr="00375E83" w:rsidRDefault="00E910EA" w:rsidP="00375E83">
      <w:pPr>
        <w:adjustRightInd w:val="0"/>
        <w:snapToGrid w:val="0"/>
        <w:spacing w:line="360" w:lineRule="auto"/>
        <w:ind w:firstLine="200"/>
        <w:rPr>
          <w:rFonts w:ascii="仿宋" w:eastAsia="仿宋" w:hAnsi="仿宋" w:cs="宋体"/>
          <w:color w:val="000000"/>
          <w:sz w:val="32"/>
          <w:szCs w:val="21"/>
        </w:rPr>
      </w:pPr>
    </w:p>
    <w:p w:rsidR="00375E83" w:rsidRPr="00375E83" w:rsidRDefault="00375E83" w:rsidP="00375E83">
      <w:pPr>
        <w:adjustRightInd w:val="0"/>
        <w:snapToGrid w:val="0"/>
        <w:spacing w:line="360" w:lineRule="auto"/>
        <w:ind w:firstLine="200"/>
        <w:rPr>
          <w:rFonts w:ascii="仿宋" w:eastAsia="仿宋" w:hAnsi="仿宋" w:cs="宋体"/>
          <w:color w:val="000000"/>
          <w:sz w:val="32"/>
          <w:szCs w:val="21"/>
        </w:rPr>
      </w:pPr>
    </w:p>
    <w:p w:rsidR="00375E83" w:rsidRPr="00375E83" w:rsidRDefault="00375E83" w:rsidP="00375E83">
      <w:pPr>
        <w:adjustRightInd w:val="0"/>
        <w:snapToGrid w:val="0"/>
        <w:spacing w:line="360" w:lineRule="auto"/>
        <w:ind w:firstLine="200"/>
        <w:rPr>
          <w:rFonts w:ascii="仿宋" w:eastAsia="仿宋" w:hAnsi="仿宋" w:cs="宋体"/>
          <w:color w:val="000000"/>
          <w:sz w:val="32"/>
          <w:szCs w:val="21"/>
        </w:rPr>
      </w:pPr>
    </w:p>
    <w:p w:rsidR="00375E83" w:rsidRDefault="00375E83" w:rsidP="00375E83">
      <w:pPr>
        <w:adjustRightInd w:val="0"/>
        <w:snapToGrid w:val="0"/>
        <w:spacing w:line="360" w:lineRule="auto"/>
        <w:ind w:firstLine="200"/>
        <w:rPr>
          <w:rFonts w:ascii="仿宋" w:eastAsia="仿宋" w:hAnsi="仿宋" w:cs="宋体"/>
          <w:color w:val="000000"/>
          <w:sz w:val="32"/>
          <w:szCs w:val="21"/>
        </w:rPr>
      </w:pPr>
    </w:p>
    <w:p w:rsidR="00375E83" w:rsidRDefault="00375E83" w:rsidP="00375E83">
      <w:pPr>
        <w:adjustRightInd w:val="0"/>
        <w:snapToGrid w:val="0"/>
        <w:spacing w:line="360" w:lineRule="auto"/>
        <w:ind w:firstLine="200"/>
        <w:rPr>
          <w:rFonts w:ascii="仿宋" w:eastAsia="仿宋" w:hAnsi="仿宋" w:cs="宋体"/>
          <w:color w:val="000000"/>
          <w:sz w:val="32"/>
          <w:szCs w:val="21"/>
        </w:rPr>
      </w:pPr>
    </w:p>
    <w:p w:rsidR="00375E83" w:rsidRDefault="00375E83" w:rsidP="00375E83">
      <w:pPr>
        <w:adjustRightInd w:val="0"/>
        <w:snapToGrid w:val="0"/>
        <w:spacing w:line="360" w:lineRule="auto"/>
        <w:ind w:firstLine="200"/>
        <w:rPr>
          <w:rFonts w:ascii="仿宋" w:eastAsia="仿宋" w:hAnsi="仿宋" w:cs="宋体"/>
          <w:color w:val="000000"/>
          <w:sz w:val="32"/>
          <w:szCs w:val="21"/>
        </w:rPr>
      </w:pPr>
    </w:p>
    <w:p w:rsidR="00375E83" w:rsidRDefault="00375E83" w:rsidP="00375E83">
      <w:pPr>
        <w:adjustRightInd w:val="0"/>
        <w:snapToGrid w:val="0"/>
        <w:spacing w:line="360" w:lineRule="auto"/>
        <w:ind w:firstLine="200"/>
        <w:rPr>
          <w:rFonts w:ascii="仿宋" w:eastAsia="仿宋" w:hAnsi="仿宋" w:cs="宋体"/>
          <w:color w:val="000000"/>
          <w:sz w:val="32"/>
          <w:szCs w:val="21"/>
        </w:rPr>
      </w:pPr>
    </w:p>
    <w:p w:rsidR="00375E83" w:rsidRDefault="00375E83" w:rsidP="00375E83">
      <w:pPr>
        <w:adjustRightInd w:val="0"/>
        <w:snapToGrid w:val="0"/>
        <w:spacing w:line="360" w:lineRule="auto"/>
        <w:ind w:firstLine="200"/>
        <w:rPr>
          <w:rFonts w:ascii="仿宋" w:eastAsia="仿宋" w:hAnsi="仿宋" w:cs="宋体"/>
          <w:color w:val="000000"/>
          <w:sz w:val="32"/>
          <w:szCs w:val="21"/>
        </w:rPr>
      </w:pPr>
    </w:p>
    <w:p w:rsidR="00375E83" w:rsidRDefault="00375E83" w:rsidP="00375E83">
      <w:pPr>
        <w:adjustRightInd w:val="0"/>
        <w:snapToGrid w:val="0"/>
        <w:spacing w:line="360" w:lineRule="auto"/>
        <w:ind w:firstLine="200"/>
        <w:rPr>
          <w:rFonts w:ascii="仿宋" w:eastAsia="仿宋" w:hAnsi="仿宋" w:cs="宋体"/>
          <w:color w:val="000000"/>
          <w:sz w:val="32"/>
          <w:szCs w:val="21"/>
        </w:rPr>
      </w:pPr>
    </w:p>
    <w:p w:rsidR="00375E83" w:rsidRPr="00375E83" w:rsidRDefault="00375E83" w:rsidP="00375E83">
      <w:pPr>
        <w:adjustRightInd w:val="0"/>
        <w:snapToGrid w:val="0"/>
        <w:spacing w:line="360" w:lineRule="auto"/>
        <w:ind w:firstLine="200"/>
        <w:rPr>
          <w:rFonts w:ascii="仿宋" w:eastAsia="仿宋" w:hAnsi="仿宋" w:cs="宋体"/>
          <w:color w:val="000000"/>
          <w:sz w:val="32"/>
          <w:szCs w:val="21"/>
        </w:rPr>
      </w:pPr>
    </w:p>
    <w:sectPr w:rsidR="00375E83" w:rsidRPr="00375E83" w:rsidSect="00CF54DB">
      <w:footerReference w:type="default" r:id="rId8"/>
      <w:pgSz w:w="11906" w:h="16838"/>
      <w:pgMar w:top="1440" w:right="1276"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0EA" w:rsidRDefault="00E910EA" w:rsidP="00DB763D">
      <w:r>
        <w:separator/>
      </w:r>
    </w:p>
  </w:endnote>
  <w:endnote w:type="continuationSeparator" w:id="0">
    <w:p w:rsidR="00E910EA" w:rsidRDefault="00E910EA" w:rsidP="00DB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07342"/>
      <w:docPartObj>
        <w:docPartGallery w:val="Page Numbers (Bottom of Page)"/>
        <w:docPartUnique/>
      </w:docPartObj>
    </w:sdtPr>
    <w:sdtEndPr/>
    <w:sdtContent>
      <w:p w:rsidR="00CF54DB" w:rsidRDefault="00CF54DB">
        <w:pPr>
          <w:pStyle w:val="a4"/>
          <w:jc w:val="center"/>
        </w:pPr>
        <w:r>
          <w:fldChar w:fldCharType="begin"/>
        </w:r>
        <w:r>
          <w:instrText>PAGE   \* MERGEFORMAT</w:instrText>
        </w:r>
        <w:r>
          <w:fldChar w:fldCharType="separate"/>
        </w:r>
        <w:r w:rsidR="00175852" w:rsidRPr="00175852">
          <w:rPr>
            <w:noProof/>
            <w:lang w:val="zh-CN"/>
          </w:rPr>
          <w:t>4</w:t>
        </w:r>
        <w:r>
          <w:fldChar w:fldCharType="end"/>
        </w:r>
      </w:p>
    </w:sdtContent>
  </w:sdt>
  <w:p w:rsidR="00CF54DB" w:rsidRDefault="00CF54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0EA" w:rsidRDefault="00E910EA" w:rsidP="00DB763D">
      <w:r>
        <w:separator/>
      </w:r>
    </w:p>
  </w:footnote>
  <w:footnote w:type="continuationSeparator" w:id="0">
    <w:p w:rsidR="00E910EA" w:rsidRDefault="00E910EA" w:rsidP="00DB7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C4"/>
    <w:rsid w:val="0007732F"/>
    <w:rsid w:val="00175852"/>
    <w:rsid w:val="001C7FD0"/>
    <w:rsid w:val="001D006B"/>
    <w:rsid w:val="00210950"/>
    <w:rsid w:val="003332E1"/>
    <w:rsid w:val="00374450"/>
    <w:rsid w:val="00375E83"/>
    <w:rsid w:val="003B3285"/>
    <w:rsid w:val="003B40CE"/>
    <w:rsid w:val="00476E45"/>
    <w:rsid w:val="005507D5"/>
    <w:rsid w:val="005D4563"/>
    <w:rsid w:val="007F3A60"/>
    <w:rsid w:val="00840B70"/>
    <w:rsid w:val="00864A8C"/>
    <w:rsid w:val="008653EC"/>
    <w:rsid w:val="00871852"/>
    <w:rsid w:val="008D34B6"/>
    <w:rsid w:val="009E5355"/>
    <w:rsid w:val="009E6A9E"/>
    <w:rsid w:val="009F6E0F"/>
    <w:rsid w:val="00A96EF1"/>
    <w:rsid w:val="00BA4AEC"/>
    <w:rsid w:val="00BE3CA5"/>
    <w:rsid w:val="00BF084D"/>
    <w:rsid w:val="00C76033"/>
    <w:rsid w:val="00CC417B"/>
    <w:rsid w:val="00CF54DB"/>
    <w:rsid w:val="00D333C4"/>
    <w:rsid w:val="00D61D12"/>
    <w:rsid w:val="00DB763D"/>
    <w:rsid w:val="00E5152C"/>
    <w:rsid w:val="00E910EA"/>
    <w:rsid w:val="00F252E3"/>
    <w:rsid w:val="00F5094C"/>
    <w:rsid w:val="00FC3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8BE3E0-65CA-43B6-976E-83A4C339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6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76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763D"/>
    <w:rPr>
      <w:sz w:val="18"/>
      <w:szCs w:val="18"/>
    </w:rPr>
  </w:style>
  <w:style w:type="paragraph" w:styleId="a4">
    <w:name w:val="footer"/>
    <w:basedOn w:val="a"/>
    <w:link w:val="Char0"/>
    <w:uiPriority w:val="99"/>
    <w:unhideWhenUsed/>
    <w:rsid w:val="00DB763D"/>
    <w:pPr>
      <w:tabs>
        <w:tab w:val="center" w:pos="4153"/>
        <w:tab w:val="right" w:pos="8306"/>
      </w:tabs>
      <w:snapToGrid w:val="0"/>
      <w:jc w:val="left"/>
    </w:pPr>
    <w:rPr>
      <w:sz w:val="18"/>
      <w:szCs w:val="18"/>
    </w:rPr>
  </w:style>
  <w:style w:type="character" w:customStyle="1" w:styleId="Char0">
    <w:name w:val="页脚 Char"/>
    <w:basedOn w:val="a0"/>
    <w:link w:val="a4"/>
    <w:uiPriority w:val="99"/>
    <w:rsid w:val="00DB763D"/>
    <w:rPr>
      <w:sz w:val="18"/>
      <w:szCs w:val="18"/>
    </w:rPr>
  </w:style>
  <w:style w:type="paragraph" w:styleId="a5">
    <w:name w:val="Plain Text"/>
    <w:basedOn w:val="a"/>
    <w:link w:val="Char1"/>
    <w:qFormat/>
    <w:rsid w:val="00DB763D"/>
    <w:pPr>
      <w:adjustRightInd w:val="0"/>
      <w:textAlignment w:val="baseline"/>
    </w:pPr>
    <w:rPr>
      <w:rFonts w:ascii="宋体" w:eastAsia="宋体" w:hAnsi="Courier New" w:cs="宋体"/>
      <w:szCs w:val="21"/>
    </w:rPr>
  </w:style>
  <w:style w:type="character" w:customStyle="1" w:styleId="Char1">
    <w:name w:val="纯文本 Char"/>
    <w:basedOn w:val="a0"/>
    <w:link w:val="a5"/>
    <w:qFormat/>
    <w:rsid w:val="00DB763D"/>
    <w:rPr>
      <w:rFonts w:ascii="宋体" w:eastAsia="宋体" w:hAnsi="Courier New" w:cs="宋体"/>
      <w:szCs w:val="21"/>
    </w:rPr>
  </w:style>
  <w:style w:type="paragraph" w:styleId="a6">
    <w:name w:val="Balloon Text"/>
    <w:basedOn w:val="a"/>
    <w:link w:val="Char2"/>
    <w:uiPriority w:val="99"/>
    <w:semiHidden/>
    <w:unhideWhenUsed/>
    <w:rsid w:val="009F6E0F"/>
    <w:rPr>
      <w:sz w:val="18"/>
      <w:szCs w:val="18"/>
    </w:rPr>
  </w:style>
  <w:style w:type="character" w:customStyle="1" w:styleId="Char2">
    <w:name w:val="批注框文本 Char"/>
    <w:basedOn w:val="a0"/>
    <w:link w:val="a6"/>
    <w:uiPriority w:val="99"/>
    <w:semiHidden/>
    <w:rsid w:val="009F6E0F"/>
    <w:rPr>
      <w:sz w:val="18"/>
      <w:szCs w:val="18"/>
    </w:rPr>
  </w:style>
  <w:style w:type="character" w:styleId="a7">
    <w:name w:val="line number"/>
    <w:basedOn w:val="a0"/>
    <w:uiPriority w:val="99"/>
    <w:semiHidden/>
    <w:unhideWhenUsed/>
    <w:rsid w:val="00D61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4</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初昊</dc:creator>
  <cp:keywords/>
  <dc:description/>
  <cp:lastModifiedBy>初昊</cp:lastModifiedBy>
  <cp:revision>31</cp:revision>
  <cp:lastPrinted>2020-05-06T06:36:00Z</cp:lastPrinted>
  <dcterms:created xsi:type="dcterms:W3CDTF">2020-01-19T01:32:00Z</dcterms:created>
  <dcterms:modified xsi:type="dcterms:W3CDTF">2020-05-09T06:55:00Z</dcterms:modified>
</cp:coreProperties>
</file>