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val="0"/>
        <w:topLinePunct w:val="0"/>
        <w:autoSpaceDE w:val="0"/>
        <w:autoSpaceDN w:val="0"/>
        <w:bidi w:val="0"/>
        <w:adjustRightInd w:val="0"/>
        <w:snapToGrid/>
        <w:spacing w:line="360" w:lineRule="auto"/>
        <w:ind w:left="0" w:leftChars="0"/>
        <w:jc w:val="center"/>
        <w:outlineLvl w:val="9"/>
        <w:rPr>
          <w:rFonts w:hint="eastAsia" w:ascii="理德小标宋简" w:hAnsi="黑体" w:eastAsia="理德小标宋简" w:cs="黑体"/>
          <w:sz w:val="44"/>
          <w:szCs w:val="44"/>
        </w:rPr>
      </w:pPr>
      <w:r>
        <w:rPr>
          <w:rFonts w:hint="eastAsia" w:ascii="理德小标宋简" w:hAnsi="黑体" w:eastAsia="理德小标宋简" w:cs="黑体"/>
          <w:sz w:val="44"/>
          <w:szCs w:val="44"/>
        </w:rPr>
        <w:t>安徽省国家税务局</w:t>
      </w:r>
      <w:r>
        <w:rPr>
          <w:rFonts w:hint="eastAsia" w:ascii="理德小标宋简" w:hAnsi="黑体" w:eastAsia="理德小标宋简" w:cs="黑体"/>
          <w:sz w:val="44"/>
          <w:szCs w:val="44"/>
          <w:lang w:val="en-US" w:eastAsia="zh-CN"/>
        </w:rPr>
        <w:t xml:space="preserve"> </w:t>
      </w:r>
      <w:r>
        <w:rPr>
          <w:rFonts w:hint="eastAsia" w:ascii="理德小标宋简" w:hAnsi="黑体" w:eastAsia="理德小标宋简" w:cs="黑体"/>
          <w:sz w:val="44"/>
          <w:szCs w:val="44"/>
        </w:rPr>
        <w:t>安徽省财政厅关于</w:t>
      </w:r>
    </w:p>
    <w:p>
      <w:pPr>
        <w:keepNext w:val="0"/>
        <w:keepLines w:val="0"/>
        <w:pageBreakBefore w:val="0"/>
        <w:kinsoku/>
        <w:wordWrap/>
        <w:overflowPunct w:val="0"/>
        <w:topLinePunct w:val="0"/>
        <w:autoSpaceDE w:val="0"/>
        <w:autoSpaceDN w:val="0"/>
        <w:bidi w:val="0"/>
        <w:adjustRightInd w:val="0"/>
        <w:snapToGrid/>
        <w:spacing w:line="360" w:lineRule="auto"/>
        <w:ind w:left="0" w:leftChars="0"/>
        <w:jc w:val="center"/>
        <w:outlineLvl w:val="9"/>
        <w:rPr>
          <w:rFonts w:hint="eastAsia" w:ascii="理德小标宋简" w:hAnsi="黑体" w:eastAsia="理德小标宋简" w:cs="黑体"/>
          <w:sz w:val="44"/>
          <w:szCs w:val="44"/>
        </w:rPr>
      </w:pPr>
      <w:r>
        <w:rPr>
          <w:rFonts w:hint="eastAsia" w:ascii="理德小标宋简" w:hAnsi="黑体" w:eastAsia="理德小标宋简" w:cs="黑体"/>
          <w:sz w:val="44"/>
          <w:szCs w:val="44"/>
        </w:rPr>
        <w:t>扩大和调整农产品增值税进项税额</w:t>
      </w:r>
    </w:p>
    <w:p>
      <w:pPr>
        <w:keepNext w:val="0"/>
        <w:keepLines w:val="0"/>
        <w:pageBreakBefore w:val="0"/>
        <w:kinsoku/>
        <w:wordWrap/>
        <w:overflowPunct w:val="0"/>
        <w:topLinePunct w:val="0"/>
        <w:autoSpaceDE w:val="0"/>
        <w:autoSpaceDN w:val="0"/>
        <w:bidi w:val="0"/>
        <w:adjustRightInd w:val="0"/>
        <w:snapToGrid/>
        <w:spacing w:line="360" w:lineRule="auto"/>
        <w:ind w:left="0" w:leftChars="0"/>
        <w:jc w:val="center"/>
        <w:outlineLvl w:val="9"/>
        <w:rPr>
          <w:rFonts w:hint="eastAsia" w:ascii="理德小标宋简" w:hAnsi="黑体" w:eastAsia="理德小标宋简" w:cs="黑体"/>
          <w:sz w:val="44"/>
          <w:szCs w:val="44"/>
        </w:rPr>
      </w:pPr>
      <w:r>
        <w:rPr>
          <w:rFonts w:hint="eastAsia" w:ascii="理德小标宋简" w:hAnsi="黑体" w:eastAsia="理德小标宋简" w:cs="黑体"/>
          <w:sz w:val="44"/>
          <w:szCs w:val="44"/>
        </w:rPr>
        <w:t>核定扣除试点相关问题的公告</w:t>
      </w:r>
    </w:p>
    <w:p>
      <w:pPr>
        <w:keepNext w:val="0"/>
        <w:keepLines w:val="0"/>
        <w:pageBreakBefore w:val="0"/>
        <w:kinsoku/>
        <w:wordWrap/>
        <w:overflowPunct w:val="0"/>
        <w:topLinePunct w:val="0"/>
        <w:autoSpaceDE w:val="0"/>
        <w:autoSpaceDN w:val="0"/>
        <w:bidi w:val="0"/>
        <w:adjustRightInd w:val="0"/>
        <w:snapToGrid/>
        <w:spacing w:line="360" w:lineRule="auto"/>
        <w:ind w:left="0" w:leftChars="0"/>
        <w:jc w:val="center"/>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征求意见稿</w:t>
      </w:r>
      <w:r>
        <w:rPr>
          <w:rFonts w:hint="eastAsia" w:ascii="楷体_GB2312" w:hAnsi="楷体_GB2312" w:eastAsia="楷体_GB2312" w:cs="楷体_GB2312"/>
          <w:sz w:val="32"/>
          <w:szCs w:val="32"/>
          <w:lang w:val="en-US" w:eastAsia="zh-CN"/>
        </w:rPr>
        <w:t>（修订稿</w:t>
      </w:r>
      <w:r>
        <w:rPr>
          <w:rFonts w:hint="eastAsia" w:ascii="楷体_GB2312" w:hAnsi="楷体_GB2312" w:eastAsia="楷体_GB2312" w:cs="楷体_GB2312"/>
          <w:sz w:val="32"/>
          <w:szCs w:val="32"/>
          <w:lang w:eastAsia="zh-CN"/>
        </w:rPr>
        <w:t>）</w:t>
      </w:r>
    </w:p>
    <w:p>
      <w:pPr>
        <w:keepNext w:val="0"/>
        <w:keepLines w:val="0"/>
        <w:pageBreakBefore w:val="0"/>
        <w:kinsoku/>
        <w:wordWrap/>
        <w:overflowPunct w:val="0"/>
        <w:topLinePunct w:val="0"/>
        <w:autoSpaceDE w:val="0"/>
        <w:autoSpaceDN w:val="0"/>
        <w:bidi w:val="0"/>
        <w:adjustRightInd w:val="0"/>
        <w:snapToGrid/>
        <w:spacing w:line="360" w:lineRule="auto"/>
        <w:ind w:left="0" w:leftChars="0" w:firstLine="838" w:firstLineChars="262"/>
        <w:jc w:val="both"/>
        <w:textAlignment w:val="baseline"/>
        <w:outlineLvl w:val="9"/>
        <w:rPr>
          <w:rFonts w:hint="eastAsia" w:ascii="仿宋_GB2312" w:hAnsi="仿宋_GB2312" w:eastAsia="仿宋_GB2312" w:cs="仿宋_GB2312"/>
          <w:sz w:val="32"/>
          <w:szCs w:val="32"/>
        </w:rPr>
      </w:pPr>
    </w:p>
    <w:p>
      <w:pPr>
        <w:keepNext w:val="0"/>
        <w:keepLines w:val="0"/>
        <w:pageBreakBefore w:val="0"/>
        <w:kinsoku/>
        <w:wordWrap/>
        <w:overflowPunct w:val="0"/>
        <w:topLinePunct w:val="0"/>
        <w:autoSpaceDE w:val="0"/>
        <w:autoSpaceDN w:val="0"/>
        <w:bidi w:val="0"/>
        <w:adjustRightInd w:val="0"/>
        <w:snapToGrid/>
        <w:spacing w:line="360" w:lineRule="auto"/>
        <w:ind w:left="0" w:leftChars="0" w:firstLine="627" w:firstLineChars="196"/>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根据《财政部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国家税务总局关于扩大农产品增值税进项税额核定扣除试点行业范围的通知》（财税〔2013〕57号）的有关规定，现将我省扩大和调整农产品增值税进项税额核定扣除试点</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相关</w:t>
      </w:r>
      <w:r>
        <w:rPr>
          <w:rFonts w:hint="eastAsia" w:ascii="仿宋_GB2312" w:hAnsi="仿宋_GB2312" w:eastAsia="仿宋_GB2312" w:cs="仿宋_GB2312"/>
          <w:sz w:val="32"/>
          <w:szCs w:val="32"/>
          <w:lang w:eastAsia="zh-CN"/>
        </w:rPr>
        <w:t>事宜</w:t>
      </w:r>
      <w:r>
        <w:rPr>
          <w:rFonts w:hint="eastAsia" w:ascii="仿宋_GB2312" w:hAnsi="仿宋_GB2312" w:eastAsia="仿宋_GB2312" w:cs="仿宋_GB2312"/>
          <w:sz w:val="32"/>
          <w:szCs w:val="32"/>
        </w:rPr>
        <w:t>公告如下：</w:t>
      </w:r>
    </w:p>
    <w:p>
      <w:pPr>
        <w:keepNext w:val="0"/>
        <w:keepLines w:val="0"/>
        <w:pageBreakBefore w:val="0"/>
        <w:kinsoku/>
        <w:wordWrap/>
        <w:overflowPunct w:val="0"/>
        <w:topLinePunct w:val="0"/>
        <w:autoSpaceDE w:val="0"/>
        <w:autoSpaceDN w:val="0"/>
        <w:bidi w:val="0"/>
        <w:adjustRightInd w:val="0"/>
        <w:snapToGrid/>
        <w:spacing w:line="360" w:lineRule="auto"/>
        <w:ind w:left="0" w:leftChars="0" w:firstLine="627" w:firstLineChars="196"/>
        <w:jc w:val="both"/>
        <w:textAlignment w:val="baseline"/>
        <w:outlineLvl w:val="9"/>
        <w:rPr>
          <w:rFonts w:hint="eastAsia" w:ascii="黑体" w:hAnsi="黑体" w:eastAsia="黑体" w:cs="仿宋_GB2312"/>
          <w:sz w:val="32"/>
          <w:szCs w:val="32"/>
        </w:rPr>
      </w:pPr>
      <w:r>
        <w:rPr>
          <w:rFonts w:hint="eastAsia" w:ascii="黑体" w:hAnsi="黑体" w:eastAsia="黑体" w:cs="仿宋_GB2312"/>
          <w:sz w:val="32"/>
          <w:szCs w:val="32"/>
        </w:rPr>
        <w:t>一、扩大核定扣除试点</w:t>
      </w:r>
    </w:p>
    <w:p>
      <w:pPr>
        <w:keepNext w:val="0"/>
        <w:keepLines w:val="0"/>
        <w:pageBreakBefore w:val="0"/>
        <w:kinsoku/>
        <w:wordWrap/>
        <w:overflowPunct w:val="0"/>
        <w:topLinePunct w:val="0"/>
        <w:autoSpaceDE w:val="0"/>
        <w:autoSpaceDN w:val="0"/>
        <w:bidi w:val="0"/>
        <w:adjustRightInd w:val="0"/>
        <w:snapToGrid/>
        <w:spacing w:line="360" w:lineRule="auto"/>
        <w:ind w:left="0" w:leftChars="0" w:firstLine="627" w:firstLineChars="196"/>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以购进农产品为原料生产销售</w:t>
      </w:r>
      <w:r>
        <w:rPr>
          <w:rFonts w:hint="eastAsia" w:ascii="仿宋_GB2312" w:hAnsi="仿宋_GB2312" w:eastAsia="仿宋_GB2312" w:cs="仿宋_GB2312"/>
          <w:sz w:val="32"/>
          <w:szCs w:val="32"/>
          <w:lang w:eastAsia="zh-CN"/>
        </w:rPr>
        <w:t>豆制品、羽绒制品、部分肉类副食品、生物质压块或颗粒燃料（具体项目描述见附件</w:t>
      </w:r>
      <w:r>
        <w:rPr>
          <w:rFonts w:hint="eastAsia" w:ascii="仿宋_GB2312" w:hAnsi="仿宋_GB2312" w:eastAsia="仿宋_GB2312" w:cs="仿宋_GB2312"/>
          <w:sz w:val="32"/>
          <w:szCs w:val="32"/>
          <w:lang w:val="en-US" w:eastAsia="zh-CN"/>
        </w:rPr>
        <w:t>1产品目录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的增值税一般纳税人</w:t>
      </w:r>
      <w:r>
        <w:rPr>
          <w:rFonts w:hint="eastAsia" w:ascii="仿宋_GB2312" w:hAnsi="仿宋_GB2312" w:eastAsia="仿宋_GB2312" w:cs="仿宋_GB2312"/>
          <w:sz w:val="32"/>
          <w:szCs w:val="32"/>
          <w:lang w:val="en-US" w:eastAsia="zh-CN"/>
        </w:rPr>
        <w:t>，以及经安徽省人民政府批准设立，同时具备集中仓储、质量检测、线上交易、电子结算功能的中药材商品交易中心（一般纳税人）</w:t>
      </w:r>
      <w:r>
        <w:rPr>
          <w:rFonts w:hint="eastAsia" w:ascii="仿宋_GB2312" w:hAnsi="仿宋_GB2312" w:eastAsia="仿宋_GB2312" w:cs="仿宋_GB2312"/>
          <w:sz w:val="32"/>
          <w:szCs w:val="32"/>
        </w:rPr>
        <w:t>，纳入农产品增值税进项税额核定扣除试点范围。</w:t>
      </w:r>
    </w:p>
    <w:p>
      <w:pPr>
        <w:keepNext w:val="0"/>
        <w:keepLines w:val="0"/>
        <w:pageBreakBefore w:val="0"/>
        <w:kinsoku/>
        <w:wordWrap/>
        <w:overflowPunct w:val="0"/>
        <w:topLinePunct w:val="0"/>
        <w:autoSpaceDE w:val="0"/>
        <w:autoSpaceDN w:val="0"/>
        <w:bidi w:val="0"/>
        <w:adjustRightInd w:val="0"/>
        <w:snapToGrid/>
        <w:spacing w:line="360" w:lineRule="auto"/>
        <w:ind w:left="0" w:leftChars="0" w:right="25" w:rightChars="12" w:firstLine="627" w:firstLineChars="196"/>
        <w:jc w:val="both"/>
        <w:textAlignment w:val="baseline"/>
        <w:outlineLvl w:val="9"/>
        <w:rPr>
          <w:rFonts w:hint="eastAsia" w:ascii="仿宋_GB2312" w:eastAsia="仿宋_GB2312"/>
          <w:sz w:val="32"/>
          <w:szCs w:val="32"/>
        </w:rPr>
      </w:pPr>
      <w:r>
        <w:rPr>
          <w:rFonts w:hint="eastAsia" w:ascii="仿宋_GB2312" w:eastAsia="仿宋_GB2312"/>
          <w:sz w:val="32"/>
          <w:szCs w:val="32"/>
        </w:rPr>
        <w:t>试点纳税人购进农产品生产销售</w:t>
      </w:r>
      <w:r>
        <w:rPr>
          <w:rFonts w:hint="eastAsia" w:ascii="仿宋_GB2312" w:hAnsi="仿宋_GB2312" w:eastAsia="仿宋_GB2312" w:cs="仿宋_GB2312"/>
          <w:sz w:val="32"/>
          <w:szCs w:val="32"/>
          <w:lang w:eastAsia="zh-CN"/>
        </w:rPr>
        <w:t>豆制品、羽绒制品、部分肉类副食品、生物质压块或颗粒燃料</w:t>
      </w:r>
      <w:r>
        <w:rPr>
          <w:rFonts w:hint="eastAsia" w:ascii="仿宋_GB2312" w:eastAsia="仿宋_GB2312"/>
          <w:sz w:val="32"/>
          <w:szCs w:val="32"/>
        </w:rPr>
        <w:t>，按照</w:t>
      </w:r>
      <w:r>
        <w:rPr>
          <w:rFonts w:hint="eastAsia" w:ascii="仿宋_GB2312" w:hAnsi="仿宋_GB2312" w:eastAsia="仿宋_GB2312" w:cs="仿宋_GB2312"/>
          <w:sz w:val="32"/>
          <w:szCs w:val="32"/>
        </w:rPr>
        <w:t>《财政部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国家税务总局关于在部分行业试行农产品增值税进项税额核定扣除办法的通知》（财税〔2012〕38号</w:t>
      </w:r>
      <w:r>
        <w:rPr>
          <w:rFonts w:hint="eastAsia" w:ascii="仿宋_GB2312" w:hAnsi="仿宋_GB2312" w:eastAsia="仿宋_GB2312" w:cs="仿宋_GB2312"/>
          <w:sz w:val="32"/>
          <w:szCs w:val="32"/>
          <w:lang w:val="en-US" w:eastAsia="zh-CN"/>
        </w:rPr>
        <w:t>,以下简称《通知》</w:t>
      </w:r>
      <w:r>
        <w:rPr>
          <w:rFonts w:hint="eastAsia" w:ascii="仿宋_GB2312" w:hAnsi="仿宋_GB2312" w:eastAsia="仿宋_GB2312" w:cs="仿宋_GB2312"/>
          <w:sz w:val="32"/>
          <w:szCs w:val="32"/>
        </w:rPr>
        <w:t>）</w:t>
      </w:r>
      <w:r>
        <w:rPr>
          <w:rFonts w:hint="eastAsia" w:ascii="仿宋_GB2312" w:eastAsia="仿宋_GB2312"/>
          <w:sz w:val="32"/>
          <w:szCs w:val="32"/>
        </w:rPr>
        <w:t>附件1《农产品增值税进项税额核定扣除试点实施办法》（以下简称《实施办法》）第四条</w:t>
      </w:r>
      <w:r>
        <w:rPr>
          <w:rFonts w:hint="eastAsia" w:ascii="仿宋_GB2312" w:eastAsia="仿宋_GB2312"/>
          <w:sz w:val="32"/>
          <w:szCs w:val="32"/>
          <w:lang w:eastAsia="zh-CN"/>
        </w:rPr>
        <w:t>第（一）项</w:t>
      </w:r>
      <w:r>
        <w:rPr>
          <w:rFonts w:hint="eastAsia" w:ascii="仿宋_GB2312" w:eastAsia="仿宋_GB2312"/>
          <w:sz w:val="32"/>
          <w:szCs w:val="32"/>
        </w:rPr>
        <w:t>中“投入产出法”的有关规定核定农产品增值税进项税额，不再凭增值税扣税凭证抵扣增值税进项税额；</w:t>
      </w:r>
      <w:r>
        <w:rPr>
          <w:rFonts w:hint="eastAsia" w:ascii="仿宋_GB2312" w:eastAsia="仿宋_GB2312"/>
          <w:sz w:val="32"/>
          <w:szCs w:val="32"/>
          <w:lang w:eastAsia="zh-CN"/>
        </w:rPr>
        <w:t>纳入试点的</w:t>
      </w:r>
      <w:r>
        <w:rPr>
          <w:rFonts w:hint="eastAsia" w:ascii="仿宋_GB2312" w:eastAsia="仿宋_GB2312"/>
          <w:sz w:val="32"/>
          <w:szCs w:val="32"/>
        </w:rPr>
        <w:t>中药材</w:t>
      </w:r>
      <w:r>
        <w:rPr>
          <w:rFonts w:hint="eastAsia" w:ascii="仿宋_GB2312" w:eastAsia="仿宋_GB2312"/>
          <w:sz w:val="32"/>
          <w:szCs w:val="32"/>
          <w:lang w:eastAsia="zh-CN"/>
        </w:rPr>
        <w:t>商品</w:t>
      </w:r>
      <w:r>
        <w:rPr>
          <w:rFonts w:hint="eastAsia" w:ascii="仿宋_GB2312" w:eastAsia="仿宋_GB2312"/>
          <w:sz w:val="32"/>
          <w:szCs w:val="32"/>
        </w:rPr>
        <w:t>交易中心按照《实施办法》第四条</w:t>
      </w:r>
      <w:r>
        <w:rPr>
          <w:rFonts w:hint="eastAsia" w:ascii="仿宋_GB2312" w:eastAsia="仿宋_GB2312"/>
          <w:sz w:val="32"/>
          <w:szCs w:val="32"/>
          <w:lang w:eastAsia="zh-CN"/>
        </w:rPr>
        <w:t>第（二）项</w:t>
      </w:r>
      <w:r>
        <w:rPr>
          <w:rFonts w:hint="eastAsia" w:ascii="仿宋_GB2312" w:eastAsia="仿宋_GB2312"/>
          <w:sz w:val="32"/>
          <w:szCs w:val="32"/>
        </w:rPr>
        <w:t>的有关规定核定农产品增值税进项税额，不再凭增值税扣税凭证抵扣增值税进项税额</w:t>
      </w:r>
      <w:r>
        <w:rPr>
          <w:rFonts w:hint="eastAsia" w:ascii="仿宋_GB2312" w:eastAsia="仿宋_GB2312"/>
          <w:sz w:val="32"/>
          <w:szCs w:val="32"/>
          <w:lang w:eastAsia="zh-CN"/>
        </w:rPr>
        <w:t>。</w:t>
      </w:r>
    </w:p>
    <w:p>
      <w:pPr>
        <w:keepNext w:val="0"/>
        <w:keepLines w:val="0"/>
        <w:pageBreakBefore w:val="0"/>
        <w:kinsoku/>
        <w:wordWrap/>
        <w:overflowPunct w:val="0"/>
        <w:topLinePunct w:val="0"/>
        <w:autoSpaceDE w:val="0"/>
        <w:autoSpaceDN w:val="0"/>
        <w:bidi w:val="0"/>
        <w:adjustRightInd w:val="0"/>
        <w:snapToGrid/>
        <w:spacing w:line="360" w:lineRule="auto"/>
        <w:ind w:left="0" w:leftChars="0" w:firstLine="627" w:firstLineChars="196"/>
        <w:jc w:val="both"/>
        <w:textAlignment w:val="baseline"/>
        <w:outlineLvl w:val="9"/>
        <w:rPr>
          <w:rFonts w:hint="eastAsia" w:ascii="仿宋_GB2312" w:eastAsia="仿宋_GB2312"/>
          <w:sz w:val="32"/>
          <w:szCs w:val="32"/>
        </w:rPr>
      </w:pPr>
      <w:r>
        <w:rPr>
          <w:rFonts w:hint="eastAsia" w:ascii="仿宋_GB2312" w:eastAsia="仿宋_GB2312"/>
          <w:sz w:val="32"/>
          <w:szCs w:val="32"/>
          <w:lang w:eastAsia="zh-CN"/>
        </w:rPr>
        <w:t>上述试点纳税人</w:t>
      </w:r>
      <w:r>
        <w:rPr>
          <w:rFonts w:hint="eastAsia" w:ascii="仿宋_GB2312" w:eastAsia="仿宋_GB2312"/>
          <w:sz w:val="32"/>
          <w:szCs w:val="32"/>
        </w:rPr>
        <w:t>购进除农产品以外的货物、应税劳务、应税服务、无形资产和不动产，增值税进项税额仍按现行有关规定抵扣。</w:t>
      </w:r>
      <w:r>
        <w:rPr>
          <w:rFonts w:hint="eastAsia" w:ascii="仿宋_GB2312" w:hAnsi="仿宋_GB2312" w:eastAsia="仿宋_GB2312" w:cs="仿宋_GB2312"/>
          <w:sz w:val="32"/>
          <w:szCs w:val="32"/>
        </w:rPr>
        <w:t>试点纳税人购进农产品生产销售上述产品，按照主产品当期销售情况，计算允许抵扣的增值税进项税额。</w:t>
      </w:r>
    </w:p>
    <w:p>
      <w:pPr>
        <w:keepNext w:val="0"/>
        <w:keepLines w:val="0"/>
        <w:pageBreakBefore w:val="0"/>
        <w:kinsoku/>
        <w:wordWrap/>
        <w:overflowPunct w:val="0"/>
        <w:topLinePunct w:val="0"/>
        <w:autoSpaceDE w:val="0"/>
        <w:autoSpaceDN w:val="0"/>
        <w:bidi w:val="0"/>
        <w:adjustRightInd w:val="0"/>
        <w:snapToGrid/>
        <w:spacing w:line="360" w:lineRule="auto"/>
        <w:ind w:left="0" w:leftChars="0" w:firstLine="627" w:firstLineChars="196"/>
        <w:jc w:val="both"/>
        <w:textAlignment w:val="baseline"/>
        <w:outlineLvl w:val="9"/>
        <w:rPr>
          <w:rFonts w:hint="eastAsia" w:ascii="黑体" w:hAnsi="黑体" w:eastAsia="黑体" w:cs="仿宋_GB2312"/>
          <w:sz w:val="32"/>
          <w:szCs w:val="32"/>
        </w:rPr>
      </w:pPr>
      <w:r>
        <w:rPr>
          <w:rFonts w:hint="eastAsia" w:ascii="黑体" w:hAnsi="黑体" w:eastAsia="黑体" w:cs="仿宋_GB2312"/>
          <w:sz w:val="32"/>
          <w:szCs w:val="32"/>
        </w:rPr>
        <w:t>二、调整</w:t>
      </w:r>
      <w:r>
        <w:rPr>
          <w:rFonts w:hint="eastAsia" w:ascii="黑体" w:hAnsi="黑体" w:eastAsia="黑体" w:cs="仿宋_GB2312"/>
          <w:sz w:val="32"/>
          <w:szCs w:val="32"/>
          <w:lang w:eastAsia="zh-CN"/>
        </w:rPr>
        <w:t>部分行业</w:t>
      </w:r>
      <w:r>
        <w:rPr>
          <w:rFonts w:hint="eastAsia" w:ascii="黑体" w:hAnsi="黑体" w:eastAsia="黑体" w:cs="仿宋_GB2312"/>
          <w:sz w:val="32"/>
          <w:szCs w:val="32"/>
        </w:rPr>
        <w:t>核定扣除方法</w:t>
      </w:r>
      <w:r>
        <w:rPr>
          <w:rFonts w:hint="eastAsia" w:ascii="黑体" w:hAnsi="黑体" w:eastAsia="黑体" w:cs="仿宋_GB2312"/>
          <w:sz w:val="32"/>
          <w:szCs w:val="32"/>
          <w:lang w:eastAsia="zh-CN"/>
        </w:rPr>
        <w:t>和内容</w:t>
      </w:r>
    </w:p>
    <w:p>
      <w:pPr>
        <w:keepNext w:val="0"/>
        <w:keepLines w:val="0"/>
        <w:pageBreakBefore w:val="0"/>
        <w:kinsoku/>
        <w:wordWrap/>
        <w:overflowPunct w:val="0"/>
        <w:topLinePunct w:val="0"/>
        <w:autoSpaceDE w:val="0"/>
        <w:autoSpaceDN w:val="0"/>
        <w:bidi w:val="0"/>
        <w:adjustRightInd w:val="0"/>
        <w:snapToGrid/>
        <w:spacing w:line="360" w:lineRule="auto"/>
        <w:ind w:left="0" w:leftChars="0" w:firstLine="627" w:firstLineChars="196"/>
        <w:jc w:val="both"/>
        <w:textAlignment w:val="baseline"/>
        <w:outlineLvl w:val="9"/>
        <w:rPr>
          <w:rFonts w:hint="eastAsia" w:ascii="仿宋_GB2312" w:eastAsia="仿宋_GB2312"/>
          <w:sz w:val="32"/>
          <w:szCs w:val="32"/>
          <w:lang w:eastAsia="zh-CN"/>
        </w:rPr>
      </w:pPr>
      <w:r>
        <w:rPr>
          <w:rFonts w:hint="eastAsia" w:ascii="仿宋_GB2312" w:hAnsi="仿宋_GB2312" w:eastAsia="仿宋_GB2312" w:cs="仿宋_GB2312"/>
          <w:sz w:val="32"/>
          <w:szCs w:val="32"/>
        </w:rPr>
        <w:t>试点纳税人购进农产品生产销售</w:t>
      </w:r>
      <w:r>
        <w:rPr>
          <w:rFonts w:hint="eastAsia" w:ascii="仿宋_GB2312" w:hAnsi="仿宋_GB2312" w:eastAsia="仿宋_GB2312" w:cs="仿宋_GB2312"/>
          <w:sz w:val="32"/>
          <w:szCs w:val="32"/>
          <w:lang w:eastAsia="zh-CN"/>
        </w:rPr>
        <w:t>白酒、啤酒产品的</w:t>
      </w:r>
      <w:r>
        <w:rPr>
          <w:rFonts w:hint="eastAsia" w:ascii="仿宋_GB2312" w:hAnsi="仿宋_GB2312" w:eastAsia="仿宋_GB2312" w:cs="仿宋_GB2312"/>
          <w:sz w:val="32"/>
          <w:szCs w:val="32"/>
        </w:rPr>
        <w:t>，均</w:t>
      </w:r>
      <w:r>
        <w:rPr>
          <w:rFonts w:hint="eastAsia" w:ascii="仿宋_GB2312" w:eastAsia="仿宋_GB2312"/>
          <w:sz w:val="32"/>
          <w:szCs w:val="32"/>
        </w:rPr>
        <w:t>按照第四条</w:t>
      </w:r>
      <w:r>
        <w:rPr>
          <w:rFonts w:hint="eastAsia" w:ascii="仿宋_GB2312" w:eastAsia="仿宋_GB2312"/>
          <w:sz w:val="32"/>
          <w:szCs w:val="32"/>
          <w:lang w:eastAsia="zh-CN"/>
        </w:rPr>
        <w:t>第（一）项</w:t>
      </w:r>
      <w:r>
        <w:rPr>
          <w:rFonts w:hint="eastAsia" w:ascii="仿宋_GB2312" w:eastAsia="仿宋_GB2312"/>
          <w:sz w:val="32"/>
          <w:szCs w:val="32"/>
        </w:rPr>
        <w:t>中“投入产出法”的有关规定</w:t>
      </w:r>
      <w:r>
        <w:rPr>
          <w:rFonts w:hint="eastAsia" w:ascii="仿宋_GB2312" w:eastAsia="仿宋_GB2312"/>
          <w:sz w:val="32"/>
          <w:szCs w:val="32"/>
          <w:lang w:eastAsia="zh-CN"/>
        </w:rPr>
        <w:t>和《安徽省白酒生产企业农产品增值税进项税额核定扣除</w:t>
      </w:r>
      <w:r>
        <w:rPr>
          <w:rFonts w:hint="eastAsia" w:ascii="仿宋_GB2312" w:eastAsia="仿宋_GB2312"/>
          <w:sz w:val="32"/>
          <w:szCs w:val="32"/>
          <w:lang w:val="en-US" w:eastAsia="zh-CN"/>
        </w:rPr>
        <w:t>操作</w:t>
      </w:r>
      <w:r>
        <w:rPr>
          <w:rFonts w:hint="eastAsia" w:ascii="仿宋_GB2312" w:eastAsia="仿宋_GB2312"/>
          <w:sz w:val="32"/>
          <w:szCs w:val="32"/>
          <w:lang w:eastAsia="zh-CN"/>
        </w:rPr>
        <w:t>规范（试行）》（另发）、《安徽省啤酒生产企业农产品增值税进项税额核定扣除</w:t>
      </w:r>
      <w:r>
        <w:rPr>
          <w:rFonts w:hint="eastAsia" w:ascii="仿宋_GB2312" w:eastAsia="仿宋_GB2312"/>
          <w:sz w:val="32"/>
          <w:szCs w:val="32"/>
          <w:lang w:val="en-US" w:eastAsia="zh-CN"/>
        </w:rPr>
        <w:t>操作</w:t>
      </w:r>
      <w:r>
        <w:rPr>
          <w:rFonts w:hint="eastAsia" w:ascii="仿宋_GB2312" w:eastAsia="仿宋_GB2312"/>
          <w:sz w:val="32"/>
          <w:szCs w:val="32"/>
          <w:lang w:eastAsia="zh-CN"/>
        </w:rPr>
        <w:t>规范（试行）》（另发）</w:t>
      </w:r>
      <w:r>
        <w:rPr>
          <w:rFonts w:hint="eastAsia" w:ascii="仿宋_GB2312" w:eastAsia="仿宋_GB2312"/>
          <w:sz w:val="32"/>
          <w:szCs w:val="32"/>
        </w:rPr>
        <w:t>核定农产品增值税进项税额，不再</w:t>
      </w:r>
      <w:r>
        <w:rPr>
          <w:rFonts w:hint="eastAsia" w:ascii="仿宋_GB2312" w:eastAsia="仿宋_GB2312"/>
          <w:sz w:val="32"/>
          <w:szCs w:val="32"/>
          <w:lang w:eastAsia="zh-CN"/>
        </w:rPr>
        <w:t>适用</w:t>
      </w:r>
      <w:r>
        <w:rPr>
          <w:rFonts w:hint="eastAsia" w:ascii="仿宋_GB2312" w:eastAsia="仿宋_GB2312"/>
          <w:sz w:val="32"/>
          <w:szCs w:val="32"/>
        </w:rPr>
        <w:t>“成本法”</w:t>
      </w:r>
      <w:r>
        <w:rPr>
          <w:rFonts w:hint="eastAsia" w:ascii="仿宋_GB2312" w:eastAsia="仿宋_GB2312"/>
          <w:sz w:val="32"/>
          <w:szCs w:val="32"/>
          <w:lang w:eastAsia="zh-CN"/>
        </w:rPr>
        <w:t>。</w:t>
      </w:r>
    </w:p>
    <w:p>
      <w:pPr>
        <w:keepNext w:val="0"/>
        <w:keepLines w:val="0"/>
        <w:pageBreakBefore w:val="0"/>
        <w:kinsoku/>
        <w:wordWrap/>
        <w:overflowPunct w:val="0"/>
        <w:topLinePunct w:val="0"/>
        <w:autoSpaceDE w:val="0"/>
        <w:autoSpaceDN w:val="0"/>
        <w:bidi w:val="0"/>
        <w:adjustRightInd w:val="0"/>
        <w:snapToGrid/>
        <w:spacing w:line="360" w:lineRule="auto"/>
        <w:ind w:left="0" w:leftChars="0" w:firstLine="627" w:firstLineChars="196"/>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安徽省国家税务局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安徽省财政厅关于扩大农产品增值税进项税额核定扣除试点相关问题的公告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2016年第10号</w:t>
      </w:r>
      <w:r>
        <w:rPr>
          <w:rFonts w:hint="eastAsia" w:ascii="仿宋_GB2312" w:hAnsi="仿宋_GB2312" w:eastAsia="仿宋_GB2312" w:cs="仿宋_GB2312"/>
          <w:sz w:val="32"/>
          <w:szCs w:val="32"/>
          <w:lang w:eastAsia="zh-CN"/>
        </w:rPr>
        <w:t>）第一条“</w:t>
      </w:r>
      <w:r>
        <w:rPr>
          <w:rFonts w:hint="eastAsia" w:ascii="仿宋_GB2312" w:hAnsi="仿宋_GB2312" w:eastAsia="仿宋_GB2312" w:cs="仿宋_GB2312"/>
          <w:sz w:val="32"/>
          <w:szCs w:val="32"/>
        </w:rPr>
        <w:t>以购进秸秆为主要原料生产销售生物质燃料的一般纳税人</w:t>
      </w:r>
      <w:r>
        <w:rPr>
          <w:rFonts w:hint="eastAsia" w:ascii="仿宋_GB2312" w:hAnsi="仿宋_GB2312" w:eastAsia="仿宋_GB2312" w:cs="仿宋_GB2312"/>
          <w:sz w:val="32"/>
          <w:szCs w:val="32"/>
          <w:lang w:eastAsia="zh-CN"/>
        </w:rPr>
        <w:t>”中，生物质燃料不包括生物质压块或颗粒燃料，仅指对秸秆进行简单切割破碎。</w:t>
      </w:r>
      <w:r>
        <w:rPr>
          <w:rFonts w:hint="eastAsia" w:ascii="仿宋_GB2312" w:eastAsia="仿宋_GB2312"/>
          <w:sz w:val="32"/>
          <w:szCs w:val="32"/>
        </w:rPr>
        <w:t>按照第四条</w:t>
      </w:r>
      <w:r>
        <w:rPr>
          <w:rFonts w:hint="eastAsia" w:ascii="仿宋_GB2312" w:eastAsia="仿宋_GB2312"/>
          <w:sz w:val="32"/>
          <w:szCs w:val="32"/>
          <w:lang w:eastAsia="zh-CN"/>
        </w:rPr>
        <w:t>第（二）项</w:t>
      </w:r>
      <w:r>
        <w:rPr>
          <w:rFonts w:hint="eastAsia" w:ascii="仿宋_GB2312" w:eastAsia="仿宋_GB2312"/>
          <w:sz w:val="32"/>
          <w:szCs w:val="32"/>
        </w:rPr>
        <w:t>的有关规定核定农产品增值税进项税额，</w:t>
      </w:r>
      <w:r>
        <w:rPr>
          <w:rFonts w:hint="eastAsia" w:ascii="仿宋_GB2312" w:hAnsi="仿宋_GB2312" w:eastAsia="仿宋_GB2312" w:cs="仿宋_GB2312"/>
          <w:sz w:val="32"/>
          <w:szCs w:val="32"/>
          <w:lang w:eastAsia="zh-CN"/>
        </w:rPr>
        <w:t>不再适用“投入产出法”。</w:t>
      </w:r>
    </w:p>
    <w:p>
      <w:pPr>
        <w:keepNext w:val="0"/>
        <w:keepLines w:val="0"/>
        <w:pageBreakBefore w:val="0"/>
        <w:kinsoku/>
        <w:wordWrap/>
        <w:overflowPunct w:val="0"/>
        <w:topLinePunct w:val="0"/>
        <w:autoSpaceDE w:val="0"/>
        <w:autoSpaceDN w:val="0"/>
        <w:bidi w:val="0"/>
        <w:adjustRightInd w:val="0"/>
        <w:snapToGrid/>
        <w:spacing w:line="360" w:lineRule="auto"/>
        <w:ind w:left="0" w:leftChars="0" w:firstLine="627" w:firstLineChars="196"/>
        <w:jc w:val="both"/>
        <w:textAlignment w:val="baseline"/>
        <w:outlineLvl w:val="9"/>
        <w:rPr>
          <w:rFonts w:hint="eastAsia" w:ascii="黑体" w:hAnsi="黑体" w:eastAsia="黑体" w:cs="仿宋_GB2312"/>
          <w:sz w:val="32"/>
          <w:szCs w:val="32"/>
        </w:rPr>
      </w:pPr>
      <w:r>
        <w:rPr>
          <w:rFonts w:hint="eastAsia" w:ascii="黑体" w:hAnsi="黑体" w:eastAsia="黑体" w:cs="仿宋_GB2312"/>
          <w:sz w:val="32"/>
          <w:szCs w:val="32"/>
        </w:rPr>
        <w:t>三、相关扣除标准</w:t>
      </w:r>
    </w:p>
    <w:p>
      <w:pPr>
        <w:keepNext w:val="0"/>
        <w:keepLines w:val="0"/>
        <w:pageBreakBefore w:val="0"/>
        <w:kinsoku/>
        <w:wordWrap/>
        <w:overflowPunct w:val="0"/>
        <w:topLinePunct w:val="0"/>
        <w:autoSpaceDE w:val="0"/>
        <w:autoSpaceDN w:val="0"/>
        <w:bidi w:val="0"/>
        <w:adjustRightInd w:val="0"/>
        <w:snapToGrid/>
        <w:spacing w:line="360" w:lineRule="auto"/>
        <w:ind w:left="0" w:leftChars="0" w:firstLine="627" w:firstLineChars="196"/>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根据我省实际情况及测算结果，确定试点纳税人生产销售</w:t>
      </w:r>
      <w:r>
        <w:rPr>
          <w:rFonts w:hint="eastAsia" w:ascii="仿宋_GB2312" w:hAnsi="仿宋_GB2312" w:eastAsia="仿宋_GB2312" w:cs="仿宋_GB2312"/>
          <w:sz w:val="32"/>
          <w:szCs w:val="32"/>
          <w:lang w:eastAsia="zh-CN"/>
        </w:rPr>
        <w:t>豆制品、羽绒制品、部分肉类副食品、生物质压块或颗粒燃料</w:t>
      </w:r>
      <w:r>
        <w:rPr>
          <w:rFonts w:hint="eastAsia" w:ascii="仿宋_GB2312" w:hAnsi="仿宋_GB2312" w:eastAsia="仿宋_GB2312" w:cs="仿宋_GB2312"/>
          <w:sz w:val="32"/>
          <w:szCs w:val="32"/>
        </w:rPr>
        <w:t>的扣除标准，现公布《全省统一的扣除标准（农产品单耗数量）》（附件1）。</w:t>
      </w:r>
    </w:p>
    <w:p>
      <w:pPr>
        <w:keepNext w:val="0"/>
        <w:keepLines w:val="0"/>
        <w:pageBreakBefore w:val="0"/>
        <w:kinsoku/>
        <w:wordWrap/>
        <w:overflowPunct w:val="0"/>
        <w:topLinePunct w:val="0"/>
        <w:autoSpaceDE w:val="0"/>
        <w:autoSpaceDN w:val="0"/>
        <w:bidi w:val="0"/>
        <w:adjustRightInd w:val="0"/>
        <w:snapToGrid/>
        <w:spacing w:line="360" w:lineRule="auto"/>
        <w:ind w:left="0" w:leftChars="0" w:firstLine="627" w:firstLineChars="196"/>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纳入试点的中药材商品交易中心，其扣除</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eastAsia="zh-CN"/>
        </w:rPr>
        <w:t>（耗损率）采取备案制，试点纳税人提供可证明当期中药材原料平均购买单价，分拣、仓储过程中耗损数量以及相对应批次的中药材原料购进数量的相关材料，交由主管税务机关录入核心征管系统进行备案。</w:t>
      </w:r>
    </w:p>
    <w:p>
      <w:pPr>
        <w:keepNext w:val="0"/>
        <w:keepLines w:val="0"/>
        <w:pageBreakBefore w:val="0"/>
        <w:kinsoku/>
        <w:wordWrap/>
        <w:overflowPunct w:val="0"/>
        <w:topLinePunct w:val="0"/>
        <w:autoSpaceDE w:val="0"/>
        <w:autoSpaceDN w:val="0"/>
        <w:bidi w:val="0"/>
        <w:adjustRightInd w:val="0"/>
        <w:snapToGrid/>
        <w:spacing w:line="360" w:lineRule="auto"/>
        <w:ind w:left="0" w:leftChars="0" w:firstLine="627" w:firstLineChars="196"/>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以购进秸秆销售生物质</w:t>
      </w:r>
      <w:r>
        <w:rPr>
          <w:rFonts w:hint="eastAsia" w:ascii="仿宋_GB2312" w:hAnsi="仿宋_GB2312" w:eastAsia="仿宋_GB2312" w:cs="仿宋_GB2312"/>
          <w:sz w:val="32"/>
          <w:szCs w:val="32"/>
          <w:lang w:eastAsia="zh-CN"/>
        </w:rPr>
        <w:t>燃料（不含生物质压块或颗粒燃料）</w:t>
      </w:r>
      <w:r>
        <w:rPr>
          <w:rFonts w:hint="eastAsia" w:ascii="仿宋_GB2312" w:hAnsi="仿宋_GB2312" w:eastAsia="仿宋_GB2312" w:cs="仿宋_GB2312"/>
          <w:sz w:val="32"/>
          <w:szCs w:val="32"/>
        </w:rPr>
        <w:t>的一般纳税人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其扣除</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eastAsia="zh-CN"/>
        </w:rPr>
        <w:t>（耗损率）采取备案制，试点纳税人提供可证明当期秸秆平均购买单价，破碎过程中耗损数量以及相对应的原料购进数量的相关材料，交由主管税务机关录入核心征管系统进行备案。</w:t>
      </w:r>
    </w:p>
    <w:p>
      <w:pPr>
        <w:keepNext w:val="0"/>
        <w:keepLines w:val="0"/>
        <w:pageBreakBefore w:val="0"/>
        <w:kinsoku/>
        <w:wordWrap/>
        <w:overflowPunct w:val="0"/>
        <w:topLinePunct w:val="0"/>
        <w:autoSpaceDE w:val="0"/>
        <w:autoSpaceDN w:val="0"/>
        <w:bidi w:val="0"/>
        <w:adjustRightInd w:val="0"/>
        <w:snapToGrid/>
        <w:spacing w:line="360" w:lineRule="auto"/>
        <w:ind w:left="0" w:leftChars="0" w:firstLine="627" w:firstLineChars="196"/>
        <w:jc w:val="both"/>
        <w:textAlignment w:val="baseline"/>
        <w:outlineLvl w:val="9"/>
        <w:rPr>
          <w:rFonts w:hint="eastAsia" w:ascii="仿宋_GB2312" w:eastAsia="仿宋_GB2312"/>
          <w:sz w:val="32"/>
          <w:szCs w:val="32"/>
          <w:lang w:eastAsia="zh-CN"/>
        </w:rPr>
      </w:pPr>
      <w:r>
        <w:rPr>
          <w:rFonts w:hint="eastAsia" w:ascii="仿宋_GB2312" w:hAnsi="仿宋_GB2312" w:eastAsia="仿宋_GB2312" w:cs="仿宋_GB2312"/>
          <w:sz w:val="32"/>
          <w:szCs w:val="32"/>
        </w:rPr>
        <w:t>试点纳税人购进农产品生产销售</w:t>
      </w:r>
      <w:r>
        <w:rPr>
          <w:rFonts w:hint="eastAsia" w:ascii="仿宋_GB2312" w:hAnsi="仿宋_GB2312" w:eastAsia="仿宋_GB2312" w:cs="仿宋_GB2312"/>
          <w:sz w:val="32"/>
          <w:szCs w:val="32"/>
          <w:lang w:eastAsia="zh-CN"/>
        </w:rPr>
        <w:t>白酒、啤酒产品的</w:t>
      </w:r>
      <w:r>
        <w:rPr>
          <w:rFonts w:hint="eastAsia" w:ascii="仿宋_GB2312" w:hAnsi="仿宋_GB2312" w:eastAsia="仿宋_GB2312" w:cs="仿宋_GB2312"/>
          <w:sz w:val="32"/>
          <w:szCs w:val="32"/>
        </w:rPr>
        <w:t>扣除标准（农产品单耗数量）</w:t>
      </w:r>
      <w:r>
        <w:rPr>
          <w:rFonts w:hint="eastAsia" w:ascii="仿宋_GB2312" w:eastAsia="仿宋_GB2312"/>
          <w:sz w:val="32"/>
          <w:szCs w:val="32"/>
        </w:rPr>
        <w:t>按照“投入产出法”</w:t>
      </w:r>
      <w:r>
        <w:rPr>
          <w:rFonts w:hint="eastAsia" w:ascii="仿宋_GB2312" w:eastAsia="仿宋_GB2312"/>
          <w:sz w:val="32"/>
          <w:szCs w:val="32"/>
          <w:lang w:eastAsia="zh-CN"/>
        </w:rPr>
        <w:t>和相应的《</w:t>
      </w:r>
      <w:r>
        <w:rPr>
          <w:rFonts w:hint="eastAsia" w:ascii="仿宋_GB2312" w:eastAsia="仿宋_GB2312"/>
          <w:sz w:val="32"/>
          <w:szCs w:val="32"/>
          <w:lang w:val="en-US" w:eastAsia="zh-CN"/>
        </w:rPr>
        <w:t>操作</w:t>
      </w:r>
      <w:r>
        <w:rPr>
          <w:rFonts w:hint="eastAsia" w:ascii="仿宋_GB2312" w:eastAsia="仿宋_GB2312"/>
          <w:sz w:val="32"/>
          <w:szCs w:val="32"/>
          <w:lang w:eastAsia="zh-CN"/>
        </w:rPr>
        <w:t>规范》</w:t>
      </w:r>
      <w:r>
        <w:rPr>
          <w:rFonts w:hint="eastAsia" w:ascii="仿宋_GB2312" w:eastAsia="仿宋_GB2312"/>
          <w:sz w:val="32"/>
          <w:szCs w:val="32"/>
        </w:rPr>
        <w:t>的有关规定</w:t>
      </w:r>
      <w:r>
        <w:rPr>
          <w:rFonts w:hint="eastAsia" w:ascii="仿宋_GB2312" w:eastAsia="仿宋_GB2312"/>
          <w:sz w:val="32"/>
          <w:szCs w:val="32"/>
          <w:lang w:eastAsia="zh-CN"/>
        </w:rPr>
        <w:t>，并依《通知》规定的程序，由主管税务机关逐户</w:t>
      </w:r>
      <w:r>
        <w:rPr>
          <w:rFonts w:hint="eastAsia" w:ascii="仿宋_GB2312" w:eastAsia="仿宋_GB2312"/>
          <w:sz w:val="32"/>
          <w:szCs w:val="32"/>
        </w:rPr>
        <w:t>核定</w:t>
      </w:r>
      <w:r>
        <w:rPr>
          <w:rFonts w:hint="eastAsia" w:ascii="仿宋_GB2312" w:eastAsia="仿宋_GB2312"/>
          <w:sz w:val="32"/>
          <w:szCs w:val="32"/>
          <w:lang w:eastAsia="zh-CN"/>
        </w:rPr>
        <w:t>扣除标准（</w:t>
      </w:r>
      <w:r>
        <w:rPr>
          <w:rFonts w:hint="eastAsia" w:ascii="仿宋_GB2312" w:hAnsi="仿宋_GB2312" w:eastAsia="仿宋_GB2312" w:cs="仿宋_GB2312"/>
          <w:sz w:val="32"/>
          <w:szCs w:val="32"/>
        </w:rPr>
        <w:t>农产品单耗数量</w:t>
      </w:r>
      <w:r>
        <w:rPr>
          <w:rFonts w:hint="eastAsia" w:ascii="仿宋_GB2312" w:eastAsia="仿宋_GB2312"/>
          <w:sz w:val="32"/>
          <w:szCs w:val="32"/>
          <w:lang w:eastAsia="zh-CN"/>
        </w:rPr>
        <w:t>）</w:t>
      </w:r>
      <w:r>
        <w:rPr>
          <w:rFonts w:hint="eastAsia" w:ascii="仿宋_GB2312" w:hAnsi="仿宋_GB2312" w:eastAsia="仿宋_GB2312" w:cs="仿宋_GB2312"/>
          <w:sz w:val="32"/>
          <w:szCs w:val="32"/>
          <w:lang w:eastAsia="zh-CN"/>
        </w:rPr>
        <w:t>录入核心征管系统</w:t>
      </w:r>
      <w:r>
        <w:rPr>
          <w:rFonts w:hint="eastAsia" w:ascii="仿宋_GB2312" w:eastAsia="仿宋_GB2312"/>
          <w:sz w:val="32"/>
          <w:szCs w:val="32"/>
          <w:lang w:eastAsia="zh-CN"/>
        </w:rPr>
        <w:t>。</w:t>
      </w:r>
    </w:p>
    <w:p>
      <w:pPr>
        <w:keepNext w:val="0"/>
        <w:keepLines w:val="0"/>
        <w:pageBreakBefore w:val="0"/>
        <w:kinsoku/>
        <w:wordWrap/>
        <w:overflowPunct w:val="0"/>
        <w:topLinePunct w:val="0"/>
        <w:autoSpaceDE w:val="0"/>
        <w:autoSpaceDN w:val="0"/>
        <w:bidi w:val="0"/>
        <w:adjustRightInd w:val="0"/>
        <w:snapToGrid/>
        <w:spacing w:line="360" w:lineRule="auto"/>
        <w:ind w:left="0" w:leftChars="0" w:firstLine="627" w:firstLineChars="196"/>
        <w:jc w:val="both"/>
        <w:textAlignment w:val="baseline"/>
        <w:outlineLvl w:val="9"/>
        <w:rPr>
          <w:rFonts w:hint="eastAsia" w:ascii="黑体" w:hAnsi="黑体" w:eastAsia="黑体" w:cs="仿宋_GB2312"/>
          <w:sz w:val="32"/>
          <w:szCs w:val="32"/>
        </w:rPr>
      </w:pPr>
      <w:r>
        <w:rPr>
          <w:rFonts w:hint="eastAsia" w:ascii="黑体" w:hAnsi="黑体" w:eastAsia="黑体" w:cs="仿宋_GB2312"/>
          <w:sz w:val="32"/>
          <w:szCs w:val="32"/>
        </w:rPr>
        <w:t>四、关于期初增值税进项税额转出问题</w:t>
      </w:r>
    </w:p>
    <w:p>
      <w:pPr>
        <w:keepNext w:val="0"/>
        <w:keepLines w:val="0"/>
        <w:pageBreakBefore w:val="0"/>
        <w:kinsoku/>
        <w:wordWrap/>
        <w:overflowPunct w:val="0"/>
        <w:topLinePunct w:val="0"/>
        <w:autoSpaceDE w:val="0"/>
        <w:autoSpaceDN w:val="0"/>
        <w:bidi w:val="0"/>
        <w:adjustRightInd w:val="0"/>
        <w:snapToGrid/>
        <w:spacing w:line="360" w:lineRule="auto"/>
        <w:ind w:left="0" w:leftChars="0" w:firstLine="627" w:firstLineChars="196"/>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首次进入</w:t>
      </w:r>
      <w:r>
        <w:rPr>
          <w:rFonts w:hint="eastAsia" w:ascii="仿宋_GB2312" w:hAnsi="仿宋_GB2312" w:eastAsia="仿宋_GB2312" w:cs="仿宋_GB2312"/>
          <w:sz w:val="32"/>
          <w:szCs w:val="32"/>
        </w:rPr>
        <w:t>试点纳税人按照《实施办法》第九条有关规定作进项税额转出形成应纳税款，一次性缴纳入库确有困难的，可于试点执行后6个月内将进项税额应转出额分期转出，需填写《农产品增值税进项税额核定扣除试点纳税人期初库存进项税额转出备案表》（附件2），报</w:t>
      </w:r>
      <w:r>
        <w:rPr>
          <w:rFonts w:hint="eastAsia" w:ascii="仿宋_GB2312" w:hAnsi="仿宋_GB2312" w:eastAsia="仿宋_GB2312" w:cs="仿宋_GB2312"/>
          <w:sz w:val="32"/>
          <w:szCs w:val="32"/>
          <w:lang w:eastAsia="zh-CN"/>
        </w:rPr>
        <w:t>主管税务</w:t>
      </w:r>
      <w:r>
        <w:rPr>
          <w:rFonts w:hint="eastAsia" w:ascii="仿宋_GB2312" w:hAnsi="仿宋_GB2312" w:eastAsia="仿宋_GB2312" w:cs="仿宋_GB2312"/>
          <w:sz w:val="32"/>
          <w:szCs w:val="32"/>
        </w:rPr>
        <w:t>机关备案。当期应转出的增值税进项税额，填入《增值税纳税申报表附列资料（表二）》第17栏“简易计税方法征税项目用”的“税额”栏。</w:t>
      </w:r>
    </w:p>
    <w:p>
      <w:pPr>
        <w:keepNext w:val="0"/>
        <w:keepLines w:val="0"/>
        <w:pageBreakBefore w:val="0"/>
        <w:kinsoku/>
        <w:wordWrap/>
        <w:overflowPunct w:val="0"/>
        <w:topLinePunct w:val="0"/>
        <w:autoSpaceDE w:val="0"/>
        <w:autoSpaceDN w:val="0"/>
        <w:bidi w:val="0"/>
        <w:adjustRightInd w:val="0"/>
        <w:snapToGrid/>
        <w:spacing w:line="360" w:lineRule="auto"/>
        <w:ind w:left="0" w:leftChars="0" w:firstLine="627" w:firstLineChars="196"/>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上述试点纳税人若在分期转出期间申请注销，须在注销前将期初增值税进项税额转出形成的应纳税款全额缴纳入库。</w:t>
      </w:r>
    </w:p>
    <w:p>
      <w:pPr>
        <w:keepNext w:val="0"/>
        <w:keepLines w:val="0"/>
        <w:pageBreakBefore w:val="0"/>
        <w:kinsoku/>
        <w:wordWrap/>
        <w:overflowPunct w:val="0"/>
        <w:topLinePunct w:val="0"/>
        <w:autoSpaceDE w:val="0"/>
        <w:autoSpaceDN w:val="0"/>
        <w:bidi w:val="0"/>
        <w:adjustRightInd w:val="0"/>
        <w:snapToGrid/>
        <w:spacing w:line="360" w:lineRule="auto"/>
        <w:ind w:left="0" w:leftChars="0" w:firstLine="627" w:firstLineChars="196"/>
        <w:jc w:val="both"/>
        <w:textAlignment w:val="baseline"/>
        <w:outlineLvl w:val="9"/>
        <w:rPr>
          <w:rFonts w:hint="eastAsia" w:ascii="黑体" w:hAnsi="黑体" w:eastAsia="黑体" w:cs="仿宋_GB2312"/>
          <w:sz w:val="32"/>
          <w:szCs w:val="32"/>
        </w:rPr>
      </w:pPr>
      <w:r>
        <w:rPr>
          <w:rFonts w:hint="eastAsia" w:ascii="黑体" w:hAnsi="黑体" w:eastAsia="黑体" w:cs="仿宋_GB2312"/>
          <w:sz w:val="32"/>
          <w:szCs w:val="32"/>
        </w:rPr>
        <w:t>五、其他事项</w:t>
      </w:r>
    </w:p>
    <w:p>
      <w:pPr>
        <w:keepNext w:val="0"/>
        <w:keepLines w:val="0"/>
        <w:pageBreakBefore w:val="0"/>
        <w:kinsoku/>
        <w:wordWrap/>
        <w:overflowPunct w:val="0"/>
        <w:topLinePunct w:val="0"/>
        <w:autoSpaceDE w:val="0"/>
        <w:autoSpaceDN w:val="0"/>
        <w:bidi w:val="0"/>
        <w:adjustRightInd w:val="0"/>
        <w:snapToGrid/>
        <w:spacing w:line="360" w:lineRule="auto"/>
        <w:ind w:left="0" w:leftChars="0" w:firstLine="627" w:firstLineChars="196"/>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试点纳税人如因生产经营方式变化等情况，不再适用购进农产品增值税进项税额核定扣除办法的，应于变化当月告知</w:t>
      </w:r>
      <w:r>
        <w:rPr>
          <w:rFonts w:hint="eastAsia" w:ascii="仿宋_GB2312" w:hAnsi="仿宋_GB2312" w:eastAsia="仿宋_GB2312" w:cs="仿宋_GB2312"/>
          <w:sz w:val="32"/>
          <w:szCs w:val="32"/>
          <w:lang w:eastAsia="zh-CN"/>
        </w:rPr>
        <w:t>主管税务</w:t>
      </w:r>
      <w:r>
        <w:rPr>
          <w:rFonts w:hint="eastAsia" w:ascii="仿宋_GB2312" w:hAnsi="仿宋_GB2312" w:eastAsia="仿宋_GB2312" w:cs="仿宋_GB2312"/>
          <w:sz w:val="32"/>
          <w:szCs w:val="32"/>
        </w:rPr>
        <w:t>机关，</w:t>
      </w:r>
      <w:r>
        <w:rPr>
          <w:rFonts w:hint="eastAsia" w:ascii="仿宋_GB2312" w:hAnsi="仿宋_GB2312" w:eastAsia="仿宋_GB2312" w:cs="仿宋_GB2312"/>
          <w:sz w:val="32"/>
          <w:szCs w:val="32"/>
          <w:lang w:eastAsia="zh-CN"/>
        </w:rPr>
        <w:t>主管税务</w:t>
      </w:r>
      <w:r>
        <w:rPr>
          <w:rFonts w:hint="eastAsia" w:ascii="仿宋_GB2312" w:hAnsi="仿宋_GB2312" w:eastAsia="仿宋_GB2312" w:cs="仿宋_GB2312"/>
          <w:sz w:val="32"/>
          <w:szCs w:val="32"/>
        </w:rPr>
        <w:t>机关应及时进行清算调整。</w:t>
      </w:r>
    </w:p>
    <w:p>
      <w:pPr>
        <w:keepNext w:val="0"/>
        <w:keepLines w:val="0"/>
        <w:pageBreakBefore w:val="0"/>
        <w:kinsoku/>
        <w:wordWrap/>
        <w:overflowPunct w:val="0"/>
        <w:topLinePunct w:val="0"/>
        <w:autoSpaceDE w:val="0"/>
        <w:autoSpaceDN w:val="0"/>
        <w:bidi w:val="0"/>
        <w:adjustRightInd w:val="0"/>
        <w:snapToGrid/>
        <w:spacing w:line="360" w:lineRule="auto"/>
        <w:ind w:left="0" w:leftChars="0" w:firstLine="627" w:firstLineChars="196"/>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本公告自201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年月日起施行。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安徽省国家税务局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安徽省财政厅关于扩大农产品增值税进项税额核定扣除试点相关问题的公告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2016年第10号</w:t>
      </w:r>
      <w:r>
        <w:rPr>
          <w:rFonts w:hint="eastAsia" w:ascii="仿宋_GB2312" w:hAnsi="仿宋_GB2312" w:eastAsia="仿宋_GB2312" w:cs="仿宋_GB2312"/>
          <w:sz w:val="32"/>
          <w:szCs w:val="32"/>
          <w:lang w:eastAsia="zh-CN"/>
        </w:rPr>
        <w:t>）第二条、第三条第一款同时废止。</w:t>
      </w:r>
    </w:p>
    <w:p>
      <w:pPr>
        <w:keepNext w:val="0"/>
        <w:keepLines w:val="0"/>
        <w:pageBreakBefore w:val="0"/>
        <w:kinsoku/>
        <w:wordWrap/>
        <w:overflowPunct w:val="0"/>
        <w:topLinePunct w:val="0"/>
        <w:autoSpaceDE w:val="0"/>
        <w:autoSpaceDN w:val="0"/>
        <w:bidi w:val="0"/>
        <w:adjustRightInd w:val="0"/>
        <w:snapToGrid/>
        <w:spacing w:line="360" w:lineRule="auto"/>
        <w:ind w:left="0" w:leftChars="0" w:firstLine="627" w:firstLineChars="196"/>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本公告由安徽省国家税务局、安徽省财政厅负责解释。</w:t>
      </w:r>
    </w:p>
    <w:p>
      <w:pPr>
        <w:keepNext w:val="0"/>
        <w:keepLines w:val="0"/>
        <w:pageBreakBefore w:val="0"/>
        <w:kinsoku/>
        <w:wordWrap/>
        <w:overflowPunct w:val="0"/>
        <w:topLinePunct w:val="0"/>
        <w:autoSpaceDE w:val="0"/>
        <w:autoSpaceDN w:val="0"/>
        <w:bidi w:val="0"/>
        <w:adjustRightInd w:val="0"/>
        <w:snapToGrid/>
        <w:spacing w:line="360" w:lineRule="auto"/>
        <w:ind w:left="0" w:leftChars="0" w:firstLine="627" w:firstLineChars="196"/>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特此公告。</w:t>
      </w:r>
    </w:p>
    <w:p>
      <w:pPr>
        <w:keepNext w:val="0"/>
        <w:keepLines w:val="0"/>
        <w:pageBreakBefore w:val="0"/>
        <w:kinsoku/>
        <w:wordWrap/>
        <w:overflowPunct w:val="0"/>
        <w:topLinePunct w:val="0"/>
        <w:autoSpaceDE w:val="0"/>
        <w:autoSpaceDN w:val="0"/>
        <w:bidi w:val="0"/>
        <w:adjustRightInd w:val="0"/>
        <w:snapToGrid/>
        <w:spacing w:line="360" w:lineRule="auto"/>
        <w:ind w:left="0" w:leftChars="0" w:firstLine="627" w:firstLineChars="196"/>
        <w:jc w:val="both"/>
        <w:textAlignment w:val="baseline"/>
        <w:outlineLvl w:val="9"/>
        <w:rPr>
          <w:rFonts w:hint="eastAsia" w:ascii="仿宋_GB2312" w:hAnsi="仿宋_GB2312" w:eastAsia="仿宋_GB2312" w:cs="仿宋_GB2312"/>
          <w:sz w:val="32"/>
          <w:szCs w:val="32"/>
        </w:rPr>
      </w:pPr>
    </w:p>
    <w:p>
      <w:pPr>
        <w:keepNext w:val="0"/>
        <w:keepLines w:val="0"/>
        <w:pageBreakBefore w:val="0"/>
        <w:kinsoku/>
        <w:wordWrap/>
        <w:overflowPunct w:val="0"/>
        <w:topLinePunct w:val="0"/>
        <w:autoSpaceDE w:val="0"/>
        <w:autoSpaceDN w:val="0"/>
        <w:bidi w:val="0"/>
        <w:adjustRightInd w:val="0"/>
        <w:snapToGrid/>
        <w:spacing w:line="360" w:lineRule="auto"/>
        <w:ind w:left="0" w:lef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全省统一的扣除标准（农产品单耗数量）</w:t>
      </w:r>
    </w:p>
    <w:p>
      <w:pPr>
        <w:keepNext w:val="0"/>
        <w:keepLines w:val="0"/>
        <w:pageBreakBefore w:val="0"/>
        <w:kinsoku/>
        <w:wordWrap/>
        <w:overflowPunct w:val="0"/>
        <w:topLinePunct w:val="0"/>
        <w:autoSpaceDE w:val="0"/>
        <w:autoSpaceDN w:val="0"/>
        <w:bidi w:val="0"/>
        <w:adjustRightInd w:val="0"/>
        <w:snapToGrid/>
        <w:spacing w:line="360" w:lineRule="auto"/>
        <w:ind w:left="0" w:leftChars="0" w:firstLine="1600" w:firstLineChars="5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农产品增值税进项税额核定扣除试点纳税人期初库存进项税额转出备案表</w:t>
      </w:r>
    </w:p>
    <w:p>
      <w:pPr>
        <w:keepNext w:val="0"/>
        <w:keepLines w:val="0"/>
        <w:pageBreakBefore w:val="0"/>
        <w:kinsoku/>
        <w:wordWrap/>
        <w:overflowPunct w:val="0"/>
        <w:topLinePunct w:val="0"/>
        <w:autoSpaceDE w:val="0"/>
        <w:autoSpaceDN w:val="0"/>
        <w:bidi w:val="0"/>
        <w:adjustRightInd w:val="0"/>
        <w:snapToGrid/>
        <w:spacing w:line="360" w:lineRule="auto"/>
        <w:ind w:left="0" w:leftChars="0" w:firstLine="838" w:firstLineChars="262"/>
        <w:jc w:val="both"/>
        <w:textAlignment w:val="baseline"/>
        <w:outlineLvl w:val="9"/>
        <w:rPr>
          <w:rFonts w:hint="eastAsia" w:ascii="仿宋_GB2312" w:hAnsi="仿宋_GB2312" w:eastAsia="仿宋_GB2312" w:cs="仿宋_GB2312"/>
          <w:sz w:val="32"/>
          <w:szCs w:val="32"/>
        </w:rPr>
      </w:pPr>
    </w:p>
    <w:p>
      <w:pPr>
        <w:keepNext w:val="0"/>
        <w:keepLines w:val="0"/>
        <w:pageBreakBefore w:val="0"/>
        <w:kinsoku/>
        <w:wordWrap/>
        <w:overflowPunct w:val="0"/>
        <w:topLinePunct w:val="0"/>
        <w:autoSpaceDE w:val="0"/>
        <w:autoSpaceDN w:val="0"/>
        <w:bidi w:val="0"/>
        <w:adjustRightInd w:val="0"/>
        <w:snapToGrid/>
        <w:spacing w:line="360" w:lineRule="auto"/>
        <w:ind w:left="0" w:leftChars="0" w:firstLine="838" w:firstLineChars="262"/>
        <w:jc w:val="right"/>
        <w:textAlignment w:val="baseline"/>
        <w:outlineLvl w:val="9"/>
        <w:rPr>
          <w:rFonts w:hint="eastAsia" w:ascii="仿宋_GB2312" w:hAnsi="仿宋_GB2312" w:eastAsia="仿宋_GB2312" w:cs="仿宋_GB2312"/>
          <w:sz w:val="32"/>
          <w:szCs w:val="32"/>
        </w:rPr>
      </w:pPr>
    </w:p>
    <w:p>
      <w:pPr>
        <w:keepNext w:val="0"/>
        <w:keepLines w:val="0"/>
        <w:pageBreakBefore w:val="0"/>
        <w:kinsoku/>
        <w:wordWrap/>
        <w:overflowPunct w:val="0"/>
        <w:topLinePunct w:val="0"/>
        <w:autoSpaceDE w:val="0"/>
        <w:autoSpaceDN w:val="0"/>
        <w:bidi w:val="0"/>
        <w:adjustRightInd w:val="0"/>
        <w:snapToGrid/>
        <w:spacing w:line="360" w:lineRule="auto"/>
        <w:ind w:left="0" w:leftChars="0" w:firstLine="838" w:firstLineChars="262"/>
        <w:jc w:val="right"/>
        <w:textAlignment w:val="baseline"/>
        <w:outlineLvl w:val="9"/>
        <w:rPr>
          <w:rFonts w:hint="eastAsia" w:ascii="仿宋_GB2312" w:hAnsi="仿宋_GB2312" w:eastAsia="仿宋_GB2312" w:cs="仿宋_GB2312"/>
          <w:sz w:val="32"/>
          <w:szCs w:val="32"/>
        </w:rPr>
      </w:pPr>
    </w:p>
    <w:p>
      <w:pPr>
        <w:keepNext w:val="0"/>
        <w:keepLines w:val="0"/>
        <w:pageBreakBefore w:val="0"/>
        <w:kinsoku/>
        <w:wordWrap/>
        <w:overflowPunct w:val="0"/>
        <w:topLinePunct w:val="0"/>
        <w:autoSpaceDE w:val="0"/>
        <w:autoSpaceDN w:val="0"/>
        <w:bidi w:val="0"/>
        <w:adjustRightInd w:val="0"/>
        <w:snapToGrid/>
        <w:spacing w:line="360" w:lineRule="auto"/>
        <w:ind w:left="0" w:leftChars="0" w:firstLine="838" w:firstLineChars="262"/>
        <w:jc w:val="right"/>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安徽省国家税务局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安徽省财政厅</w:t>
      </w:r>
    </w:p>
    <w:p>
      <w:pPr>
        <w:keepNext w:val="0"/>
        <w:keepLines w:val="0"/>
        <w:pageBreakBefore w:val="0"/>
        <w:widowControl w:val="0"/>
        <w:kinsoku/>
        <w:wordWrap/>
        <w:overflowPunct w:val="0"/>
        <w:topLinePunct w:val="0"/>
        <w:autoSpaceDE w:val="0"/>
        <w:autoSpaceDN w:val="0"/>
        <w:bidi w:val="0"/>
        <w:adjustRightInd w:val="0"/>
        <w:snapToGrid/>
        <w:spacing w:line="360" w:lineRule="auto"/>
        <w:ind w:left="0" w:leftChars="0" w:firstLine="640" w:firstLineChars="200"/>
        <w:jc w:val="right"/>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br w:type="textWrapping"/>
      </w:r>
    </w:p>
    <w:p>
      <w:pPr>
        <w:keepNext w:val="0"/>
        <w:keepLines w:val="0"/>
        <w:pageBreakBefore w:val="0"/>
        <w:widowControl w:val="0"/>
        <w:kinsoku/>
        <w:wordWrap/>
        <w:overflowPunct w:val="0"/>
        <w:topLinePunct w:val="0"/>
        <w:autoSpaceDE w:val="0"/>
        <w:autoSpaceDN w:val="0"/>
        <w:bidi w:val="0"/>
        <w:adjustRightInd w:val="0"/>
        <w:snapToGrid/>
        <w:spacing w:line="360" w:lineRule="auto"/>
        <w:ind w:left="0" w:leftChars="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br w:type="page"/>
      </w:r>
    </w:p>
    <w:p>
      <w:pPr>
        <w:keepNext w:val="0"/>
        <w:keepLines w:val="0"/>
        <w:pageBreakBefore w:val="0"/>
        <w:widowControl w:val="0"/>
        <w:kinsoku/>
        <w:wordWrap/>
        <w:overflowPunct w:val="0"/>
        <w:topLinePunct w:val="0"/>
        <w:autoSpaceDE w:val="0"/>
        <w:autoSpaceDN w:val="0"/>
        <w:bidi w:val="0"/>
        <w:adjustRightInd w:val="0"/>
        <w:snapToGrid/>
        <w:spacing w:line="360" w:lineRule="auto"/>
        <w:ind w:left="0" w:leftChars="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keepNext w:val="0"/>
        <w:keepLines w:val="0"/>
        <w:pageBreakBefore w:val="0"/>
        <w:widowControl w:val="0"/>
        <w:kinsoku/>
        <w:wordWrap/>
        <w:overflowPunct w:val="0"/>
        <w:topLinePunct w:val="0"/>
        <w:autoSpaceDE w:val="0"/>
        <w:autoSpaceDN w:val="0"/>
        <w:bidi w:val="0"/>
        <w:adjustRightInd w:val="0"/>
        <w:snapToGrid/>
        <w:spacing w:line="360" w:lineRule="auto"/>
        <w:ind w:left="0" w:leftChars="0"/>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val="0"/>
        <w:autoSpaceDN w:val="0"/>
        <w:bidi w:val="0"/>
        <w:adjustRightInd w:val="0"/>
        <w:snapToGrid/>
        <w:spacing w:line="360" w:lineRule="auto"/>
        <w:ind w:left="0" w:leftChars="0"/>
        <w:jc w:val="center"/>
        <w:outlineLvl w:val="9"/>
        <w:rPr>
          <w:rFonts w:hint="eastAsia" w:ascii="方正大标宋简体" w:hAnsi="方正大标宋简体" w:eastAsia="方正大标宋简体" w:cs="方正大标宋简体"/>
          <w:sz w:val="32"/>
          <w:szCs w:val="32"/>
        </w:rPr>
      </w:pPr>
      <w:r>
        <w:rPr>
          <w:rFonts w:hint="eastAsia" w:ascii="方正大标宋简体" w:hAnsi="方正大标宋简体" w:eastAsia="方正大标宋简体" w:cs="方正大标宋简体"/>
          <w:sz w:val="32"/>
          <w:szCs w:val="32"/>
        </w:rPr>
        <w:t>全省统一的扣除标准（农产品单耗数量）</w:t>
      </w:r>
    </w:p>
    <w:tbl>
      <w:tblPr>
        <w:tblStyle w:val="3"/>
        <w:tblpPr w:leftFromText="180" w:rightFromText="180" w:vertAnchor="text" w:horzAnchor="page" w:tblpX="1519" w:tblpY="341"/>
        <w:tblOverlap w:val="never"/>
        <w:tblW w:w="83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25"/>
        <w:gridCol w:w="1572"/>
        <w:gridCol w:w="1178"/>
        <w:gridCol w:w="825"/>
        <w:gridCol w:w="2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行业</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产品</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原料</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单位</w:t>
            </w: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b/>
                <w:bCs/>
                <w:i w:val="0"/>
                <w:color w:val="000000"/>
                <w:kern w:val="0"/>
                <w:sz w:val="28"/>
                <w:szCs w:val="28"/>
                <w:u w:val="none"/>
                <w:lang w:val="en-US" w:eastAsia="zh-CN" w:bidi="ar"/>
              </w:rPr>
            </w:pPr>
            <w:r>
              <w:rPr>
                <w:rFonts w:hint="eastAsia" w:ascii="仿宋_GB2312" w:hAnsi="仿宋_GB2312" w:eastAsia="仿宋_GB2312" w:cs="仿宋_GB2312"/>
                <w:b/>
                <w:bCs/>
                <w:i w:val="0"/>
                <w:color w:val="000000"/>
                <w:kern w:val="0"/>
                <w:sz w:val="28"/>
                <w:szCs w:val="28"/>
                <w:u w:val="none"/>
                <w:lang w:val="en-US" w:eastAsia="zh-CN" w:bidi="ar"/>
              </w:rPr>
              <w:t>单位耗用量</w:t>
            </w:r>
          </w:p>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（耗用率）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豆制品加工</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茶干</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黄豆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公斤</w:t>
            </w: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1" w:hRule="atLeast"/>
        </w:trPr>
        <w:tc>
          <w:tcPr>
            <w:tcW w:w="18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i w:val="0"/>
                <w:color w:val="000000"/>
                <w:sz w:val="21"/>
                <w:szCs w:val="21"/>
                <w:u w:val="none"/>
              </w:rPr>
            </w:pPr>
          </w:p>
        </w:tc>
        <w:tc>
          <w:tcPr>
            <w:tcW w:w="15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豆腐制品</w:t>
            </w:r>
          </w:p>
        </w:tc>
        <w:tc>
          <w:tcPr>
            <w:tcW w:w="117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黄豆</w:t>
            </w:r>
          </w:p>
        </w:tc>
        <w:tc>
          <w:tcPr>
            <w:tcW w:w="8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公斤</w:t>
            </w:r>
          </w:p>
        </w:tc>
        <w:tc>
          <w:tcPr>
            <w:tcW w:w="29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0.5457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 w:hRule="atLeast"/>
        </w:trPr>
        <w:tc>
          <w:tcPr>
            <w:tcW w:w="18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i w:val="0"/>
                <w:color w:val="000000"/>
                <w:sz w:val="21"/>
                <w:szCs w:val="21"/>
                <w:u w:val="none"/>
              </w:rPr>
            </w:pPr>
          </w:p>
        </w:tc>
        <w:tc>
          <w:tcPr>
            <w:tcW w:w="157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豆饮料</w:t>
            </w:r>
          </w:p>
        </w:tc>
        <w:tc>
          <w:tcPr>
            <w:tcW w:w="117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黄豆</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克</w:t>
            </w:r>
          </w:p>
        </w:tc>
        <w:tc>
          <w:tcPr>
            <w:tcW w:w="29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*按照每100克黄豆含38克</w:t>
            </w:r>
          </w:p>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大豆蛋白标准换算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羽绒制品加工</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鸭绒</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鸭毛</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公斤</w:t>
            </w: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6.4163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i w:val="0"/>
                <w:color w:val="000000"/>
                <w:sz w:val="21"/>
                <w:szCs w:val="21"/>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鹅绒</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鹅毛</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公斤</w:t>
            </w: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5.4625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7" w:hRule="atLeast"/>
        </w:trPr>
        <w:tc>
          <w:tcPr>
            <w:tcW w:w="18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副食品加工</w:t>
            </w:r>
          </w:p>
        </w:tc>
        <w:tc>
          <w:tcPr>
            <w:tcW w:w="15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牛肉干（块、粒）</w:t>
            </w:r>
          </w:p>
        </w:tc>
        <w:tc>
          <w:tcPr>
            <w:tcW w:w="117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牛肉</w:t>
            </w:r>
          </w:p>
        </w:tc>
        <w:tc>
          <w:tcPr>
            <w:tcW w:w="8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公斤</w:t>
            </w:r>
          </w:p>
        </w:tc>
        <w:tc>
          <w:tcPr>
            <w:tcW w:w="29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0" w:hRule="atLeast"/>
        </w:trPr>
        <w:tc>
          <w:tcPr>
            <w:tcW w:w="182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p>
        </w:tc>
        <w:tc>
          <w:tcPr>
            <w:tcW w:w="157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罐头</w:t>
            </w:r>
          </w:p>
        </w:tc>
        <w:tc>
          <w:tcPr>
            <w:tcW w:w="117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猪、牛肉等</w:t>
            </w:r>
          </w:p>
        </w:tc>
        <w:tc>
          <w:tcPr>
            <w:tcW w:w="8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公斤</w:t>
            </w:r>
          </w:p>
        </w:tc>
        <w:tc>
          <w:tcPr>
            <w:tcW w:w="297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18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燃料加工</w:t>
            </w:r>
          </w:p>
        </w:tc>
        <w:tc>
          <w:tcPr>
            <w:tcW w:w="157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生物质压块</w:t>
            </w:r>
          </w:p>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或颗粒燃料</w:t>
            </w:r>
          </w:p>
        </w:tc>
        <w:tc>
          <w:tcPr>
            <w:tcW w:w="117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秸秆、稻壳、花生壳等</w:t>
            </w:r>
          </w:p>
        </w:tc>
        <w:tc>
          <w:tcPr>
            <w:tcW w:w="8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吨</w:t>
            </w:r>
          </w:p>
        </w:tc>
        <w:tc>
          <w:tcPr>
            <w:tcW w:w="297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98" w:hRule="atLeast"/>
        </w:trPr>
        <w:tc>
          <w:tcPr>
            <w:tcW w:w="8375" w:type="dxa"/>
            <w:gridSpan w:val="5"/>
            <w:tcBorders>
              <w:top w:val="single" w:color="auto" w:sz="4" w:space="0"/>
              <w:left w:val="nil"/>
              <w:bottom w:val="nil"/>
              <w:right w:val="nil"/>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leftChars="0" w:right="0"/>
              <w:jc w:val="left"/>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*根据销售豆饮料《营养成分表》标注比例计算大豆蛋白质含量，须减除添加人工蛋白质部分，然后换算黄豆耗用数量。</w:t>
            </w:r>
          </w:p>
        </w:tc>
      </w:tr>
    </w:tbl>
    <w:p>
      <w:pPr>
        <w:keepNext w:val="0"/>
        <w:keepLines w:val="0"/>
        <w:pageBreakBefore w:val="0"/>
        <w:kinsoku/>
        <w:wordWrap/>
        <w:overflowPunct w:val="0"/>
        <w:topLinePunct w:val="0"/>
        <w:autoSpaceDE w:val="0"/>
        <w:autoSpaceDN w:val="0"/>
        <w:bidi w:val="0"/>
        <w:adjustRightInd w:val="0"/>
        <w:snapToGrid/>
        <w:spacing w:line="360" w:lineRule="auto"/>
        <w:ind w:left="0" w:leftChars="0"/>
        <w:outlineLvl w:val="9"/>
      </w:pPr>
      <w:r>
        <w:br w:type="page"/>
      </w:r>
    </w:p>
    <w:p>
      <w:pPr>
        <w:keepNext w:val="0"/>
        <w:keepLines w:val="0"/>
        <w:pageBreakBefore w:val="0"/>
        <w:widowControl w:val="0"/>
        <w:kinsoku/>
        <w:wordWrap/>
        <w:overflowPunct w:val="0"/>
        <w:topLinePunct w:val="0"/>
        <w:autoSpaceDE w:val="0"/>
        <w:autoSpaceDN w:val="0"/>
        <w:bidi w:val="0"/>
        <w:adjustRightInd w:val="0"/>
        <w:snapToGrid/>
        <w:spacing w:line="360" w:lineRule="auto"/>
        <w:ind w:left="0" w:leftChars="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keepNext w:val="0"/>
        <w:keepLines w:val="0"/>
        <w:pageBreakBefore w:val="0"/>
        <w:widowControl w:val="0"/>
        <w:kinsoku/>
        <w:wordWrap/>
        <w:overflowPunct w:val="0"/>
        <w:topLinePunct w:val="0"/>
        <w:autoSpaceDE w:val="0"/>
        <w:autoSpaceDN w:val="0"/>
        <w:bidi w:val="0"/>
        <w:adjustRightInd w:val="0"/>
        <w:snapToGrid/>
        <w:spacing w:line="360" w:lineRule="auto"/>
        <w:ind w:left="0" w:leftChars="0"/>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val="0"/>
        <w:autoSpaceDN w:val="0"/>
        <w:bidi w:val="0"/>
        <w:adjustRightInd w:val="0"/>
        <w:snapToGrid/>
        <w:spacing w:line="360" w:lineRule="auto"/>
        <w:ind w:left="0" w:leftChars="0"/>
        <w:outlineLvl w:val="9"/>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object>
          <v:shape id="_x0000_i1025" o:spt="75" type="#_x0000_t75" style="height:487.95pt;width:415pt;" o:ole="t" filled="f" o:preferrelative="t" stroked="f" coordsize="21600,21600">
            <v:path/>
            <v:fill on="f" focussize="0,0"/>
            <v:stroke on="f"/>
            <v:imagedata r:id="rId5" o:title=""/>
            <o:lock v:ext="edit" aspectratio="f"/>
            <w10:wrap type="none"/>
            <w10:anchorlock/>
          </v:shape>
          <o:OLEObject Type="Embed" ProgID="Word.Document.8" ShapeID="_x0000_i1025" DrawAspect="Content" ObjectID="_1468075725" r:id="rId4">
            <o:LockedField>false</o:LockedField>
          </o:OLEObject>
        </w:object>
      </w:r>
      <w:bookmarkEnd w:id="0"/>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val="0"/>
        <w:topLinePunct w:val="0"/>
        <w:autoSpaceDE w:val="0"/>
        <w:autoSpaceDN w:val="0"/>
        <w:bidi w:val="0"/>
        <w:adjustRightInd w:val="0"/>
        <w:snapToGrid/>
        <w:spacing w:line="360" w:lineRule="auto"/>
        <w:ind w:left="0" w:leftChars="0"/>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相关说明：《安徽省白酒生产企业农产品增值税进项税额核定扣除</w:t>
      </w:r>
      <w:r>
        <w:rPr>
          <w:rFonts w:hint="eastAsia" w:ascii="楷体_GB2312" w:hAnsi="楷体_GB2312" w:eastAsia="楷体_GB2312" w:cs="楷体_GB2312"/>
          <w:sz w:val="32"/>
          <w:szCs w:val="32"/>
          <w:lang w:val="en-US" w:eastAsia="zh-CN"/>
        </w:rPr>
        <w:t>操作</w:t>
      </w:r>
      <w:r>
        <w:rPr>
          <w:rFonts w:hint="eastAsia" w:ascii="楷体_GB2312" w:hAnsi="楷体_GB2312" w:eastAsia="楷体_GB2312" w:cs="楷体_GB2312"/>
          <w:sz w:val="32"/>
          <w:szCs w:val="32"/>
          <w:lang w:eastAsia="zh-CN"/>
        </w:rPr>
        <w:t>规范（试行）》、《安徽省啤酒生产企业农产品增值税进项税额核定扣除</w:t>
      </w:r>
      <w:r>
        <w:rPr>
          <w:rFonts w:hint="eastAsia" w:ascii="楷体_GB2312" w:hAnsi="楷体_GB2312" w:eastAsia="楷体_GB2312" w:cs="楷体_GB2312"/>
          <w:sz w:val="32"/>
          <w:szCs w:val="32"/>
          <w:lang w:val="en-US" w:eastAsia="zh-CN"/>
        </w:rPr>
        <w:t>操作</w:t>
      </w:r>
      <w:r>
        <w:rPr>
          <w:rFonts w:hint="eastAsia" w:ascii="楷体_GB2312" w:hAnsi="楷体_GB2312" w:eastAsia="楷体_GB2312" w:cs="楷体_GB2312"/>
          <w:sz w:val="32"/>
          <w:szCs w:val="32"/>
          <w:lang w:eastAsia="zh-CN"/>
        </w:rPr>
        <w:t>规范（试行）》等涉及税务机关统操作和流转审定等规定，将另行发文，公开选项为依申请公开。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A87" w:usb1="00000000" w:usb2="00000000" w:usb3="00000000" w:csb0="400001BF" w:csb1="DFF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0A87" w:usb1="00000000" w:usb2="00000000" w:usb3="00000000" w:csb0="400001BF" w:csb1="DFF70000"/>
  </w:font>
  <w:font w:name="Arial">
    <w:panose1 w:val="020B0604020202020204"/>
    <w:charset w:val="00"/>
    <w:family w:val="swiss"/>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Bookman Old Style">
    <w:altName w:val="Segoe Print"/>
    <w:panose1 w:val="02050604050505020204"/>
    <w:charset w:val="00"/>
    <w:family w:val="roman"/>
    <w:pitch w:val="default"/>
    <w:sig w:usb0="00000000" w:usb1="00000000" w:usb2="00000000" w:usb3="00000000" w:csb0="2000009F" w:csb1="DFD70000"/>
  </w:font>
  <w:font w:name="理德小标宋简">
    <w:panose1 w:val="02010609000101010101"/>
    <w:charset w:val="86"/>
    <w:family w:val="moder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华文楷体">
    <w:altName w:val="楷体_GB2312"/>
    <w:panose1 w:val="02010600040101010101"/>
    <w:charset w:val="86"/>
    <w:family w:val="auto"/>
    <w:pitch w:val="default"/>
    <w:sig w:usb0="00000000" w:usb1="00000000" w:usb2="00000000" w:usb3="00000000" w:csb0="0004009F" w:csb1="DFD7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文鼎贱狗体">
    <w:panose1 w:val="020B060201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书宋简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彩云简体">
    <w:panose1 w:val="03000509000000000000"/>
    <w:charset w:val="86"/>
    <w:family w:val="auto"/>
    <w:pitch w:val="default"/>
    <w:sig w:usb0="00000001" w:usb1="080E0000" w:usb2="00000000" w:usb3="00000000" w:csb0="00040000" w:csb1="00000000"/>
  </w:font>
  <w:font w:name="方正琥珀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隶书简体">
    <w:panose1 w:val="02010601030101010101"/>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理德小标宋简">
    <w:panose1 w:val="02010609000101010101"/>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C918B7"/>
    <w:rsid w:val="0C4F66F4"/>
    <w:rsid w:val="0D811574"/>
    <w:rsid w:val="12E06711"/>
    <w:rsid w:val="138D599A"/>
    <w:rsid w:val="28E57DFC"/>
    <w:rsid w:val="311E7DC6"/>
    <w:rsid w:val="313B0500"/>
    <w:rsid w:val="363C42F9"/>
    <w:rsid w:val="370566EB"/>
    <w:rsid w:val="39C33F2E"/>
    <w:rsid w:val="3B2922BA"/>
    <w:rsid w:val="3BBA56CE"/>
    <w:rsid w:val="49152794"/>
    <w:rsid w:val="4C0E1B6D"/>
    <w:rsid w:val="4CD914E3"/>
    <w:rsid w:val="4DE00A11"/>
    <w:rsid w:val="5F984A25"/>
    <w:rsid w:val="60D0309D"/>
    <w:rsid w:val="628314B0"/>
    <w:rsid w:val="68D16D47"/>
    <w:rsid w:val="6AFB01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cp:lastModifiedBy>
  <cp:lastPrinted>2018-03-15T02:49:00Z</cp:lastPrinted>
  <dcterms:modified xsi:type="dcterms:W3CDTF">2018-03-16T07:54:38Z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