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B7" w:rsidRPr="008A0891" w:rsidRDefault="008F24FE" w:rsidP="00883EB5">
      <w:pPr>
        <w:jc w:val="center"/>
        <w:rPr>
          <w:rFonts w:ascii="黑体" w:eastAsia="黑体" w:hAnsi="仿宋_GB2312" w:cs="仿宋_GB2312" w:hint="eastAsia"/>
          <w:b/>
          <w:bCs/>
          <w:sz w:val="36"/>
          <w:szCs w:val="36"/>
        </w:rPr>
      </w:pPr>
      <w:r w:rsidRPr="008A0891">
        <w:rPr>
          <w:rFonts w:ascii="黑体" w:eastAsia="黑体" w:hAnsi="仿宋_GB2312" w:cs="仿宋_GB2312" w:hint="eastAsia"/>
          <w:b/>
          <w:bCs/>
          <w:sz w:val="36"/>
          <w:szCs w:val="36"/>
        </w:rPr>
        <w:t>2019年经营所得个人所得税缴款指引</w:t>
      </w:r>
    </w:p>
    <w:p w:rsidR="007B6AB7" w:rsidRDefault="007B6AB7">
      <w:pPr>
        <w:ind w:firstLine="420"/>
        <w:rPr>
          <w:rFonts w:ascii="宋体" w:hAnsi="宋体" w:cs="宋体"/>
          <w:kern w:val="0"/>
        </w:rPr>
      </w:pPr>
    </w:p>
    <w:p w:rsidR="007B6AB7" w:rsidRDefault="007B6AB7">
      <w:pPr>
        <w:ind w:firstLine="420"/>
        <w:rPr>
          <w:rFonts w:ascii="宋体" w:hAnsi="宋体" w:cs="宋体"/>
          <w:kern w:val="0"/>
        </w:rPr>
      </w:pPr>
    </w:p>
    <w:p w:rsidR="007B6AB7" w:rsidRDefault="008F24FE">
      <w:pPr>
        <w:ind w:firstLine="420"/>
        <w:rPr>
          <w:rFonts w:ascii="宋体" w:hAnsi="宋体" w:cs="宋体"/>
          <w:kern w:val="0"/>
        </w:rPr>
      </w:pPr>
      <w:r>
        <w:rPr>
          <w:rFonts w:ascii="宋体" w:hAnsi="宋体" w:cs="宋体" w:hint="eastAsia"/>
          <w:kern w:val="0"/>
        </w:rPr>
        <w:t>2019年度经营所得个人所得税（不包括定期定额户）缴款发生变化，请关注：</w:t>
      </w:r>
    </w:p>
    <w:p w:rsidR="007B6AB7" w:rsidRDefault="008F24FE">
      <w:pPr>
        <w:ind w:firstLine="420"/>
        <w:rPr>
          <w:rFonts w:ascii="宋体" w:hAnsi="宋体" w:cs="宋体"/>
          <w:kern w:val="0"/>
        </w:rPr>
      </w:pPr>
      <w:r>
        <w:rPr>
          <w:rFonts w:ascii="宋体" w:hAnsi="宋体" w:cs="宋体" w:hint="eastAsia"/>
          <w:kern w:val="0"/>
        </w:rPr>
        <w:t>1.需由自然人纳税人个人完成缴款。</w:t>
      </w:r>
    </w:p>
    <w:p w:rsidR="007B6AB7" w:rsidRDefault="008F24FE">
      <w:pPr>
        <w:ind w:firstLine="420"/>
        <w:rPr>
          <w:rFonts w:ascii="宋体" w:hAnsi="宋体" w:cs="宋体"/>
          <w:kern w:val="0"/>
        </w:rPr>
      </w:pPr>
      <w:r>
        <w:rPr>
          <w:rFonts w:ascii="宋体" w:hAnsi="宋体" w:cs="宋体" w:hint="eastAsia"/>
          <w:kern w:val="0"/>
        </w:rPr>
        <w:t>2.目前提供个人三方协议和银联卡两种在线缴款模式。特别提醒，自然税收管理系统WEB端与扣缴客户端缴款模式略有不同。</w:t>
      </w:r>
    </w:p>
    <w:p w:rsidR="007B6AB7" w:rsidRDefault="008F24FE">
      <w:pPr>
        <w:ind w:firstLine="420"/>
        <w:rPr>
          <w:rFonts w:ascii="宋体" w:hAnsi="宋体" w:cs="宋体"/>
          <w:kern w:val="0"/>
        </w:rPr>
      </w:pPr>
      <w:r>
        <w:rPr>
          <w:rFonts w:ascii="宋体" w:hAnsi="宋体" w:cs="宋体" w:hint="eastAsia"/>
          <w:kern w:val="0"/>
        </w:rPr>
        <w:t>3.请提前做好三方协议签订、银联卡支付等相关准备工作；尽早完成经营所得申报缴款。</w:t>
      </w:r>
    </w:p>
    <w:p w:rsidR="007B6AB7" w:rsidRDefault="007B6AB7">
      <w:pPr>
        <w:rPr>
          <w:rFonts w:ascii="仿宋_GB2312" w:eastAsia="仿宋_GB2312" w:hAnsi="仿宋_GB2312" w:cs="仿宋_GB2312"/>
          <w:b/>
          <w:bCs/>
          <w:sz w:val="32"/>
          <w:szCs w:val="40"/>
        </w:rPr>
      </w:pPr>
    </w:p>
    <w:p w:rsidR="007B6AB7" w:rsidRDefault="008F24FE" w:rsidP="00883EB5">
      <w:pPr>
        <w:jc w:val="center"/>
        <w:rPr>
          <w:rFonts w:ascii="方正小标宋简体" w:eastAsia="方正小标宋简体"/>
          <w:sz w:val="44"/>
          <w:szCs w:val="44"/>
          <w:highlight w:val="yellow"/>
        </w:rPr>
      </w:pPr>
      <w:r>
        <w:rPr>
          <w:rFonts w:ascii="方正小标宋简体" w:eastAsia="方正小标宋简体" w:hint="eastAsia"/>
          <w:sz w:val="44"/>
          <w:szCs w:val="44"/>
          <w:highlight w:val="yellow"/>
        </w:rPr>
        <w:t>自然人税收管理系统WEB端</w:t>
      </w:r>
    </w:p>
    <w:p w:rsidR="007B6AB7" w:rsidRDefault="008F24FE">
      <w:pPr>
        <w:ind w:firstLine="420"/>
        <w:rPr>
          <w:rFonts w:ascii="宋体" w:hAnsi="宋体" w:cs="宋体"/>
          <w:kern w:val="0"/>
          <w:highlight w:val="yellow"/>
        </w:rPr>
      </w:pPr>
      <w:r>
        <w:rPr>
          <w:rFonts w:ascii="宋体" w:hAnsi="宋体" w:cs="宋体" w:hint="eastAsia"/>
          <w:kern w:val="0"/>
        </w:rPr>
        <w:t>特别提醒，WEB端申报可以在WEB端完成缴款；扣缴客户端申报后未缴款的，也可以在WEB端完成缴款。WEB端支持个人三方协议和银联卡两种在线缴款模式，</w:t>
      </w:r>
      <w:r>
        <w:rPr>
          <w:rFonts w:ascii="宋体" w:hAnsi="宋体" w:cs="宋体" w:hint="eastAsia"/>
          <w:kern w:val="0"/>
          <w:highlight w:val="yellow"/>
        </w:rPr>
        <w:t>同时支持在线打印电子缴款凭证至银行缴款。</w:t>
      </w:r>
    </w:p>
    <w:p w:rsidR="007B6AB7" w:rsidRDefault="008F24FE">
      <w:pPr>
        <w:pStyle w:val="4"/>
        <w:numPr>
          <w:ilvl w:val="3"/>
          <w:numId w:val="0"/>
        </w:numPr>
        <w:rPr>
          <w:sz w:val="28"/>
          <w:szCs w:val="36"/>
        </w:rPr>
      </w:pPr>
      <w:bookmarkStart w:id="0" w:name="_Toc19573"/>
      <w:bookmarkStart w:id="1" w:name="_Toc27865"/>
      <w:r>
        <w:rPr>
          <w:rFonts w:hint="eastAsia"/>
          <w:sz w:val="28"/>
          <w:szCs w:val="36"/>
        </w:rPr>
        <w:t>一、三方协议缴税</w:t>
      </w:r>
      <w:bookmarkEnd w:id="0"/>
      <w:bookmarkEnd w:id="1"/>
    </w:p>
    <w:p w:rsidR="007B6AB7" w:rsidRDefault="008F24FE">
      <w:pPr>
        <w:ind w:firstLineChars="200" w:firstLine="420"/>
        <w:rPr>
          <w:rFonts w:ascii="宋体" w:hAnsi="宋体" w:cs="宋体"/>
        </w:rPr>
      </w:pPr>
      <w:r>
        <w:rPr>
          <w:rFonts w:ascii="宋体" w:hAnsi="宋体" w:cs="宋体" w:hint="eastAsia"/>
        </w:rPr>
        <w:t>本功能适用于已签订三方协议的纳税人在缴款时进行选择。</w:t>
      </w:r>
    </w:p>
    <w:p w:rsidR="007B6AB7" w:rsidRDefault="008F24FE" w:rsidP="008A0891">
      <w:pPr>
        <w:spacing w:beforeLines="50"/>
        <w:ind w:firstLineChars="200" w:firstLine="422"/>
        <w:rPr>
          <w:rFonts w:ascii="宋体" w:hAnsi="宋体" w:cs="宋体"/>
          <w:b/>
          <w:bCs/>
        </w:rPr>
      </w:pPr>
      <w:r>
        <w:rPr>
          <w:rFonts w:ascii="宋体" w:hAnsi="宋体" w:cs="宋体" w:hint="eastAsia"/>
          <w:b/>
          <w:bCs/>
        </w:rPr>
        <w:t>操作步骤：</w:t>
      </w:r>
    </w:p>
    <w:p w:rsidR="007B6AB7" w:rsidRDefault="008F24FE">
      <w:pPr>
        <w:numPr>
          <w:ilvl w:val="0"/>
          <w:numId w:val="2"/>
        </w:numPr>
        <w:ind w:firstLineChars="200" w:firstLine="420"/>
      </w:pPr>
      <w:r>
        <w:rPr>
          <w:rFonts w:ascii="宋体" w:hAnsi="宋体" w:cs="宋体" w:hint="eastAsia"/>
        </w:rPr>
        <w:t>点击【申报管理】-【已申报】-【未完成】，选择对应申报项目进行缴税，如有多条未缴款记录可点击【立即缴税】</w:t>
      </w:r>
      <w:r>
        <w:rPr>
          <w:rFonts w:hint="eastAsia"/>
        </w:rPr>
        <w:t>（</w:t>
      </w:r>
      <w:r>
        <w:rPr>
          <w:rFonts w:ascii="宋体" w:hAnsi="宋体" w:cs="宋体" w:hint="eastAsia"/>
        </w:rPr>
        <w:t>仅同一个税款所属机关、收款国库的申报可合并缴税）；</w:t>
      </w:r>
    </w:p>
    <w:p w:rsidR="007B6AB7" w:rsidRDefault="008F24FE">
      <w:r>
        <w:rPr>
          <w:noProof/>
        </w:rPr>
        <w:drawing>
          <wp:inline distT="0" distB="0" distL="114300" distR="114300">
            <wp:extent cx="5255895" cy="2392045"/>
            <wp:effectExtent l="9525" t="9525" r="1143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55895" cy="2392045"/>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r>
        <w:rPr>
          <w:noProof/>
        </w:rPr>
        <w:lastRenderedPageBreak/>
        <w:drawing>
          <wp:inline distT="0" distB="0" distL="114300" distR="114300">
            <wp:extent cx="5255895" cy="2193925"/>
            <wp:effectExtent l="9525" t="9525" r="11430" b="254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rcRect b="2539"/>
                    <a:stretch>
                      <a:fillRect/>
                    </a:stretch>
                  </pic:blipFill>
                  <pic:spPr>
                    <a:xfrm>
                      <a:off x="0" y="0"/>
                      <a:ext cx="5255895" cy="2193925"/>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pPr>
        <w:numPr>
          <w:ilvl w:val="0"/>
          <w:numId w:val="2"/>
        </w:numPr>
        <w:ind w:firstLineChars="200" w:firstLine="420"/>
        <w:rPr>
          <w:rFonts w:ascii="宋体" w:hAnsi="宋体" w:cs="宋体"/>
        </w:rPr>
      </w:pPr>
      <w:r>
        <w:rPr>
          <w:rFonts w:ascii="宋体" w:hAnsi="宋体" w:cs="宋体" w:hint="eastAsia"/>
        </w:rPr>
        <w:t>支付方式选择【三方协议缴款】，点击【立即支付】；</w:t>
      </w:r>
    </w:p>
    <w:p w:rsidR="007B6AB7" w:rsidRDefault="008F24FE">
      <w:r>
        <w:rPr>
          <w:noProof/>
        </w:rPr>
        <w:drawing>
          <wp:inline distT="0" distB="0" distL="114300" distR="114300">
            <wp:extent cx="5255895" cy="2178050"/>
            <wp:effectExtent l="9525" t="9525" r="11430" b="222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5255895" cy="2178050"/>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pPr>
        <w:numPr>
          <w:ilvl w:val="0"/>
          <w:numId w:val="2"/>
        </w:numPr>
        <w:ind w:firstLineChars="200" w:firstLine="420"/>
        <w:rPr>
          <w:rFonts w:ascii="宋体" w:hAnsi="宋体" w:cs="宋体"/>
        </w:rPr>
      </w:pPr>
      <w:r>
        <w:rPr>
          <w:rFonts w:ascii="宋体" w:hAnsi="宋体" w:cs="宋体" w:hint="eastAsia"/>
        </w:rPr>
        <w:t>确认此次缴税所使用的三方协议缴款账户，点击【确定】发起扣款请求完成缴税。</w:t>
      </w:r>
    </w:p>
    <w:p w:rsidR="007B6AB7" w:rsidRDefault="008F24FE">
      <w:pPr>
        <w:rPr>
          <w:rFonts w:ascii="宋体" w:hAnsi="宋体" w:cs="宋体"/>
        </w:rPr>
      </w:pPr>
      <w:r>
        <w:rPr>
          <w:rFonts w:ascii="宋体" w:hAnsi="宋体" w:cs="宋体" w:hint="eastAsia"/>
          <w:noProof/>
        </w:rPr>
        <w:drawing>
          <wp:inline distT="0" distB="0" distL="114300" distR="114300">
            <wp:extent cx="5255895" cy="2402840"/>
            <wp:effectExtent l="9525" t="9525" r="11430" b="26035"/>
            <wp:docPr id="3"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2"/>
                    <pic:cNvPicPr>
                      <a:picLocks noChangeAspect="1"/>
                    </pic:cNvPicPr>
                  </pic:nvPicPr>
                  <pic:blipFill>
                    <a:blip r:embed="rId11"/>
                    <a:srcRect t="9343"/>
                    <a:stretch>
                      <a:fillRect/>
                    </a:stretch>
                  </pic:blipFill>
                  <pic:spPr>
                    <a:xfrm>
                      <a:off x="0" y="0"/>
                      <a:ext cx="5255895" cy="2402840"/>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rsidP="008A0891">
      <w:pPr>
        <w:pStyle w:val="4"/>
        <w:numPr>
          <w:ilvl w:val="3"/>
          <w:numId w:val="0"/>
        </w:numPr>
        <w:spacing w:beforeLines="50"/>
        <w:rPr>
          <w:sz w:val="28"/>
          <w:szCs w:val="36"/>
        </w:rPr>
      </w:pPr>
      <w:bookmarkStart w:id="2" w:name="_Toc24439"/>
      <w:bookmarkStart w:id="3" w:name="_Toc19328"/>
      <w:r>
        <w:rPr>
          <w:rFonts w:hint="eastAsia"/>
          <w:sz w:val="28"/>
          <w:szCs w:val="36"/>
        </w:rPr>
        <w:t>二、银联</w:t>
      </w:r>
      <w:bookmarkEnd w:id="2"/>
      <w:bookmarkEnd w:id="3"/>
      <w:r>
        <w:rPr>
          <w:rFonts w:hint="eastAsia"/>
          <w:sz w:val="28"/>
          <w:szCs w:val="36"/>
        </w:rPr>
        <w:t>在线支付</w:t>
      </w:r>
    </w:p>
    <w:p w:rsidR="007B6AB7" w:rsidRDefault="008F24FE">
      <w:pPr>
        <w:ind w:firstLineChars="200" w:firstLine="420"/>
      </w:pPr>
      <w:r>
        <w:rPr>
          <w:rFonts w:hint="eastAsia"/>
        </w:rPr>
        <w:t>未签订三方协议缴款的纳税人，可选择银联在线支付完成缴款。</w:t>
      </w:r>
    </w:p>
    <w:p w:rsidR="007B6AB7" w:rsidRDefault="008F24FE" w:rsidP="008A0891">
      <w:pPr>
        <w:spacing w:beforeLines="50"/>
        <w:ind w:firstLineChars="200" w:firstLine="422"/>
        <w:rPr>
          <w:rFonts w:ascii="宋体" w:hAnsi="宋体" w:cs="宋体"/>
          <w:b/>
          <w:bCs/>
        </w:rPr>
      </w:pPr>
      <w:r>
        <w:rPr>
          <w:rFonts w:ascii="宋体" w:hAnsi="宋体" w:cs="宋体" w:hint="eastAsia"/>
          <w:b/>
          <w:bCs/>
        </w:rPr>
        <w:t>操作步骤：</w:t>
      </w:r>
    </w:p>
    <w:p w:rsidR="007B6AB7" w:rsidRDefault="008F24FE">
      <w:pPr>
        <w:numPr>
          <w:ilvl w:val="0"/>
          <w:numId w:val="3"/>
        </w:numPr>
        <w:ind w:firstLineChars="200" w:firstLine="420"/>
      </w:pPr>
      <w:r>
        <w:rPr>
          <w:rFonts w:ascii="宋体" w:hAnsi="宋体" w:cs="宋体" w:hint="eastAsia"/>
        </w:rPr>
        <w:lastRenderedPageBreak/>
        <w:t>点击【申报管理】-【已申报】-【未完成】，选择对应申报项目进行缴税，如有多条未缴款记录可点击【立即缴税】</w:t>
      </w:r>
      <w:r>
        <w:rPr>
          <w:rFonts w:hint="eastAsia"/>
        </w:rPr>
        <w:t>（</w:t>
      </w:r>
      <w:r>
        <w:rPr>
          <w:rFonts w:ascii="宋体" w:hAnsi="宋体" w:cs="宋体" w:hint="eastAsia"/>
        </w:rPr>
        <w:t>仅同一个税款所属机关、收款国库的申报可合并缴税）；</w:t>
      </w:r>
    </w:p>
    <w:p w:rsidR="007B6AB7" w:rsidRDefault="008F24FE">
      <w:r>
        <w:rPr>
          <w:noProof/>
        </w:rPr>
        <w:drawing>
          <wp:inline distT="0" distB="0" distL="114300" distR="114300">
            <wp:extent cx="5255895" cy="2392045"/>
            <wp:effectExtent l="9525" t="9525" r="11430" b="1778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8"/>
                    <a:stretch>
                      <a:fillRect/>
                    </a:stretch>
                  </pic:blipFill>
                  <pic:spPr>
                    <a:xfrm>
                      <a:off x="0" y="0"/>
                      <a:ext cx="5255895" cy="2392045"/>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r>
        <w:rPr>
          <w:noProof/>
        </w:rPr>
        <w:drawing>
          <wp:inline distT="0" distB="0" distL="114300" distR="114300">
            <wp:extent cx="5255895" cy="2193925"/>
            <wp:effectExtent l="9525" t="9525" r="11430" b="2540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9"/>
                    <a:srcRect b="2539"/>
                    <a:stretch>
                      <a:fillRect/>
                    </a:stretch>
                  </pic:blipFill>
                  <pic:spPr>
                    <a:xfrm>
                      <a:off x="0" y="0"/>
                      <a:ext cx="5255895" cy="2193925"/>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pPr>
        <w:numPr>
          <w:ilvl w:val="0"/>
          <w:numId w:val="3"/>
        </w:numPr>
        <w:ind w:firstLineChars="200" w:firstLine="420"/>
        <w:rPr>
          <w:rFonts w:ascii="宋体" w:hAnsi="宋体" w:cs="宋体"/>
        </w:rPr>
      </w:pPr>
      <w:r>
        <w:rPr>
          <w:rFonts w:ascii="宋体" w:hAnsi="宋体" w:cs="宋体" w:hint="eastAsia"/>
        </w:rPr>
        <w:t>支付方式选择【银联在线支付】，点击【立即支付】；</w:t>
      </w:r>
    </w:p>
    <w:p w:rsidR="007B6AB7" w:rsidRDefault="008F24FE">
      <w:pPr>
        <w:rPr>
          <w:rFonts w:ascii="微软雅黑" w:eastAsia="微软雅黑" w:hAnsi="微软雅黑" w:cs="微软雅黑"/>
        </w:rPr>
      </w:pPr>
      <w:r>
        <w:rPr>
          <w:noProof/>
        </w:rPr>
        <w:drawing>
          <wp:inline distT="0" distB="0" distL="114300" distR="114300">
            <wp:extent cx="5255895" cy="2170430"/>
            <wp:effectExtent l="9525" t="9525" r="11430" b="1079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2"/>
                    <a:stretch>
                      <a:fillRect/>
                    </a:stretch>
                  </pic:blipFill>
                  <pic:spPr>
                    <a:xfrm>
                      <a:off x="0" y="0"/>
                      <a:ext cx="5255895" cy="2170430"/>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pPr>
        <w:numPr>
          <w:ilvl w:val="0"/>
          <w:numId w:val="3"/>
        </w:numPr>
        <w:ind w:firstLineChars="200" w:firstLine="420"/>
        <w:rPr>
          <w:rFonts w:ascii="宋体" w:hAnsi="宋体" w:cs="宋体"/>
        </w:rPr>
      </w:pPr>
      <w:r>
        <w:rPr>
          <w:rFonts w:ascii="宋体" w:hAnsi="宋体" w:cs="宋体" w:hint="eastAsia"/>
        </w:rPr>
        <w:t>选择直接付款或者登录付款，发起扣款请求完成缴税。</w:t>
      </w:r>
    </w:p>
    <w:p w:rsidR="007B6AB7" w:rsidRDefault="008F24FE">
      <w:r>
        <w:rPr>
          <w:noProof/>
        </w:rPr>
        <w:lastRenderedPageBreak/>
        <w:drawing>
          <wp:inline distT="0" distB="0" distL="114300" distR="114300">
            <wp:extent cx="5255895" cy="2251075"/>
            <wp:effectExtent l="9525" t="9525" r="11430" b="25400"/>
            <wp:docPr id="5" name="图片 8"/>
            <wp:cNvGraphicFramePr/>
            <a:graphic xmlns:a="http://schemas.openxmlformats.org/drawingml/2006/main">
              <a:graphicData uri="http://schemas.openxmlformats.org/drawingml/2006/picture">
                <pic:pic xmlns:pic="http://schemas.openxmlformats.org/drawingml/2006/picture">
                  <pic:nvPicPr>
                    <pic:cNvPr id="5" name="图片 8"/>
                    <pic:cNvPicPr preferRelativeResize="0"/>
                  </pic:nvPicPr>
                  <pic:blipFill>
                    <a:blip r:embed="rId13"/>
                    <a:srcRect r="1088"/>
                    <a:stretch>
                      <a:fillRect/>
                    </a:stretch>
                  </pic:blipFill>
                  <pic:spPr>
                    <a:xfrm>
                      <a:off x="0" y="0"/>
                      <a:ext cx="5255895" cy="2251075"/>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rsidP="008A0891">
      <w:pPr>
        <w:pStyle w:val="3"/>
        <w:numPr>
          <w:ilvl w:val="2"/>
          <w:numId w:val="0"/>
        </w:numPr>
        <w:spacing w:beforeLines="50"/>
        <w:rPr>
          <w:color w:val="FF0000"/>
        </w:rPr>
      </w:pPr>
      <w:bookmarkStart w:id="4" w:name="_Toc23684"/>
      <w:bookmarkStart w:id="5" w:name="_Toc18269"/>
      <w:bookmarkStart w:id="6" w:name="_Toc26833"/>
      <w:bookmarkStart w:id="7" w:name="_Toc30103"/>
      <w:r>
        <w:rPr>
          <w:rFonts w:hint="eastAsia"/>
          <w:color w:val="FF0000"/>
        </w:rPr>
        <w:t>特别提醒：怎么查询已缴税</w:t>
      </w:r>
      <w:bookmarkEnd w:id="4"/>
      <w:bookmarkEnd w:id="5"/>
      <w:bookmarkEnd w:id="6"/>
      <w:bookmarkEnd w:id="7"/>
      <w:r>
        <w:rPr>
          <w:rFonts w:hint="eastAsia"/>
          <w:color w:val="FF0000"/>
        </w:rPr>
        <w:t>情况？</w:t>
      </w:r>
    </w:p>
    <w:p w:rsidR="007B6AB7" w:rsidRDefault="008F24FE">
      <w:pPr>
        <w:ind w:firstLineChars="200" w:firstLine="420"/>
      </w:pPr>
      <w:r>
        <w:rPr>
          <w:rFonts w:ascii="宋体" w:hAnsi="宋体" w:cs="宋体" w:hint="eastAsia"/>
        </w:rPr>
        <w:t>点击【申报管理】-【已申报】-【已完成】</w:t>
      </w:r>
      <w:r>
        <w:rPr>
          <w:rFonts w:hint="eastAsia"/>
        </w:rPr>
        <w:t>，纳税人可查看已缴税情况。</w:t>
      </w:r>
    </w:p>
    <w:p w:rsidR="007B6AB7" w:rsidRDefault="008F24FE">
      <w:r>
        <w:rPr>
          <w:noProof/>
        </w:rPr>
        <w:drawing>
          <wp:inline distT="0" distB="0" distL="114300" distR="114300">
            <wp:extent cx="5255895" cy="2411730"/>
            <wp:effectExtent l="9525" t="9525" r="11430" b="1714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4"/>
                    <a:stretch>
                      <a:fillRect/>
                    </a:stretch>
                  </pic:blipFill>
                  <pic:spPr>
                    <a:xfrm>
                      <a:off x="0" y="0"/>
                      <a:ext cx="5255895" cy="2411730"/>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rsidP="008A0891">
      <w:pPr>
        <w:pStyle w:val="3"/>
        <w:numPr>
          <w:ilvl w:val="2"/>
          <w:numId w:val="0"/>
        </w:numPr>
        <w:spacing w:beforeLines="50"/>
      </w:pPr>
      <w:bookmarkStart w:id="8" w:name="_Toc18814"/>
      <w:bookmarkStart w:id="9" w:name="_Toc1039"/>
      <w:r>
        <w:rPr>
          <w:rFonts w:hint="eastAsia"/>
        </w:rPr>
        <w:t>三、电子税票下载</w:t>
      </w:r>
      <w:bookmarkEnd w:id="8"/>
      <w:bookmarkEnd w:id="9"/>
    </w:p>
    <w:p w:rsidR="007B6AB7" w:rsidRDefault="008F24FE">
      <w:pPr>
        <w:ind w:firstLineChars="200" w:firstLine="420"/>
        <w:rPr>
          <w:rFonts w:ascii="宋体" w:hAnsi="宋体" w:cs="宋体"/>
        </w:rPr>
      </w:pPr>
      <w:r>
        <w:rPr>
          <w:rFonts w:ascii="宋体" w:hAnsi="宋体" w:cs="宋体" w:hint="eastAsia"/>
          <w:highlight w:val="yellow"/>
        </w:rPr>
        <w:t>当纳税人在</w:t>
      </w:r>
      <w:r>
        <w:rPr>
          <w:rFonts w:ascii="宋体" w:hAnsi="宋体" w:cs="宋体" w:hint="eastAsia"/>
          <w:bCs/>
          <w:highlight w:val="yellow"/>
        </w:rPr>
        <w:t>办税服务厅选择缴款方式为银行端现金缴税</w:t>
      </w:r>
      <w:r>
        <w:rPr>
          <w:rFonts w:ascii="宋体" w:hAnsi="宋体" w:hint="eastAsia"/>
          <w:bCs/>
          <w:highlight w:val="yellow"/>
        </w:rPr>
        <w:t>时</w:t>
      </w:r>
      <w:r>
        <w:rPr>
          <w:rFonts w:ascii="宋体" w:hAnsi="宋体" w:hint="eastAsia"/>
          <w:bCs/>
        </w:rPr>
        <w:t>，可通过此功能打印税收电子缴款书，银行端查询缴税</w:t>
      </w:r>
      <w:r>
        <w:rPr>
          <w:rFonts w:ascii="Arial" w:eastAsia="Arial" w:hAnsi="Arial" w:cs="Arial" w:hint="eastAsia"/>
          <w:color w:val="191919"/>
          <w:shd w:val="clear" w:color="auto" w:fill="FFFFFF"/>
        </w:rPr>
        <w:t>凭证生成后，请留意凭证提示的限缴日期，务必及时缴纳税款。</w:t>
      </w:r>
      <w:r>
        <w:rPr>
          <w:rFonts w:ascii="Arial" w:hAnsi="Arial" w:cs="Arial" w:hint="eastAsia"/>
          <w:color w:val="191919"/>
          <w:shd w:val="clear" w:color="auto" w:fill="FFFFFF"/>
        </w:rPr>
        <w:t>纳税人可</w:t>
      </w:r>
      <w:r>
        <w:rPr>
          <w:rFonts w:ascii="Arial" w:eastAsia="Arial" w:hAnsi="Arial" w:cs="Arial" w:hint="eastAsia"/>
          <w:color w:val="191919"/>
          <w:shd w:val="clear" w:color="auto" w:fill="FFFFFF"/>
        </w:rPr>
        <w:t>携带《银行端查询缴</w:t>
      </w:r>
      <w:r>
        <w:rPr>
          <w:rFonts w:ascii="Arial" w:hAnsi="Arial" w:cs="Arial" w:hint="eastAsia"/>
          <w:color w:val="191919"/>
          <w:shd w:val="clear" w:color="auto" w:fill="FFFFFF"/>
        </w:rPr>
        <w:t>税</w:t>
      </w:r>
      <w:r>
        <w:rPr>
          <w:rFonts w:ascii="Arial" w:eastAsia="Arial" w:hAnsi="Arial" w:cs="Arial" w:hint="eastAsia"/>
          <w:color w:val="191919"/>
          <w:shd w:val="clear" w:color="auto" w:fill="FFFFFF"/>
        </w:rPr>
        <w:t>凭证》前往线下银行</w:t>
      </w:r>
      <w:r>
        <w:rPr>
          <w:rFonts w:ascii="Arial" w:hAnsi="Arial" w:cs="Arial" w:hint="eastAsia"/>
          <w:color w:val="191919"/>
          <w:shd w:val="clear" w:color="auto" w:fill="FFFFFF"/>
        </w:rPr>
        <w:t>柜台</w:t>
      </w:r>
      <w:r>
        <w:rPr>
          <w:rFonts w:ascii="Arial" w:eastAsia="Arial" w:hAnsi="Arial" w:cs="Arial" w:hint="eastAsia"/>
          <w:color w:val="191919"/>
          <w:shd w:val="clear" w:color="auto" w:fill="FFFFFF"/>
        </w:rPr>
        <w:t>缴税。</w:t>
      </w:r>
    </w:p>
    <w:p w:rsidR="007B6AB7" w:rsidRDefault="008F24FE" w:rsidP="008A0891">
      <w:pPr>
        <w:spacing w:beforeLines="50"/>
        <w:ind w:firstLineChars="200" w:firstLine="422"/>
        <w:rPr>
          <w:b/>
          <w:bCs/>
        </w:rPr>
      </w:pPr>
      <w:r>
        <w:rPr>
          <w:rFonts w:hint="eastAsia"/>
          <w:b/>
          <w:bCs/>
        </w:rPr>
        <w:t>操作步骤：</w:t>
      </w:r>
    </w:p>
    <w:p w:rsidR="007B6AB7" w:rsidRDefault="008F24FE">
      <w:pPr>
        <w:numPr>
          <w:ilvl w:val="0"/>
          <w:numId w:val="4"/>
        </w:numPr>
        <w:ind w:firstLineChars="200" w:firstLine="420"/>
      </w:pPr>
      <w:r>
        <w:rPr>
          <w:rFonts w:ascii="宋体" w:hAnsi="宋体" w:cs="宋体" w:hint="eastAsia"/>
        </w:rPr>
        <w:t>点击【申报管理】-【已申报】-【已完成】，</w:t>
      </w:r>
      <w:r>
        <w:rPr>
          <w:rFonts w:hint="eastAsia"/>
        </w:rPr>
        <w:t>选择对应申报项目点击【查看】；</w:t>
      </w:r>
    </w:p>
    <w:p w:rsidR="007B6AB7" w:rsidRDefault="008F24FE">
      <w:r>
        <w:rPr>
          <w:noProof/>
        </w:rPr>
        <w:lastRenderedPageBreak/>
        <w:drawing>
          <wp:inline distT="0" distB="0" distL="114300" distR="114300">
            <wp:extent cx="5255895" cy="2339975"/>
            <wp:effectExtent l="9525" t="9525" r="11430" b="12700"/>
            <wp:docPr id="8" name="图片 10"/>
            <wp:cNvGraphicFramePr/>
            <a:graphic xmlns:a="http://schemas.openxmlformats.org/drawingml/2006/main">
              <a:graphicData uri="http://schemas.openxmlformats.org/drawingml/2006/picture">
                <pic:pic xmlns:pic="http://schemas.openxmlformats.org/drawingml/2006/picture">
                  <pic:nvPicPr>
                    <pic:cNvPr id="8" name="图片 10"/>
                    <pic:cNvPicPr preferRelativeResize="0"/>
                  </pic:nvPicPr>
                  <pic:blipFill>
                    <a:blip r:embed="rId15"/>
                    <a:stretch>
                      <a:fillRect/>
                    </a:stretch>
                  </pic:blipFill>
                  <pic:spPr>
                    <a:xfrm>
                      <a:off x="0" y="0"/>
                      <a:ext cx="5255895" cy="2339975"/>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pPr>
        <w:numPr>
          <w:ilvl w:val="0"/>
          <w:numId w:val="4"/>
        </w:numPr>
        <w:ind w:firstLineChars="200" w:firstLine="420"/>
      </w:pPr>
      <w:r>
        <w:rPr>
          <w:rFonts w:ascii="宋体" w:hAnsi="宋体" w:cs="宋体" w:hint="eastAsia"/>
        </w:rPr>
        <w:t>选择【缴款凭证】后点击【预览】，即可生成银行端查询缴税凭证。</w:t>
      </w:r>
    </w:p>
    <w:p w:rsidR="007B6AB7" w:rsidRDefault="008F24FE">
      <w:r>
        <w:rPr>
          <w:noProof/>
        </w:rPr>
        <w:drawing>
          <wp:inline distT="0" distB="0" distL="114300" distR="114300">
            <wp:extent cx="5255895" cy="2271395"/>
            <wp:effectExtent l="9525" t="9525" r="11430" b="2413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6"/>
                    <a:stretch>
                      <a:fillRect/>
                    </a:stretch>
                  </pic:blipFill>
                  <pic:spPr>
                    <a:xfrm>
                      <a:off x="0" y="0"/>
                      <a:ext cx="5255895" cy="2271395"/>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8F24FE">
      <w:r>
        <w:rPr>
          <w:noProof/>
        </w:rPr>
        <w:drawing>
          <wp:inline distT="0" distB="0" distL="114300" distR="114300">
            <wp:extent cx="5255895" cy="2971800"/>
            <wp:effectExtent l="9525" t="9525" r="11430" b="9525"/>
            <wp:docPr id="4" name="图片 12"/>
            <wp:cNvGraphicFramePr/>
            <a:graphic xmlns:a="http://schemas.openxmlformats.org/drawingml/2006/main">
              <a:graphicData uri="http://schemas.openxmlformats.org/drawingml/2006/picture">
                <pic:pic xmlns:pic="http://schemas.openxmlformats.org/drawingml/2006/picture">
                  <pic:nvPicPr>
                    <pic:cNvPr id="4" name="图片 12"/>
                    <pic:cNvPicPr preferRelativeResize="0"/>
                  </pic:nvPicPr>
                  <pic:blipFill>
                    <a:blip r:embed="rId17"/>
                    <a:stretch>
                      <a:fillRect/>
                    </a:stretch>
                  </pic:blipFill>
                  <pic:spPr>
                    <a:xfrm>
                      <a:off x="0" y="0"/>
                      <a:ext cx="5255895" cy="2971800"/>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7B6AB7" w:rsidRDefault="007B6AB7">
      <w:pPr>
        <w:jc w:val="left"/>
        <w:rPr>
          <w:rFonts w:ascii="方正小标宋简体" w:eastAsia="方正小标宋简体"/>
          <w:sz w:val="44"/>
          <w:szCs w:val="44"/>
          <w:highlight w:val="yellow"/>
        </w:rPr>
      </w:pPr>
    </w:p>
    <w:p w:rsidR="007B6AB7" w:rsidRDefault="008F24FE" w:rsidP="00883EB5">
      <w:pPr>
        <w:jc w:val="center"/>
        <w:rPr>
          <w:rFonts w:ascii="方正小标宋简体" w:eastAsia="方正小标宋简体"/>
          <w:sz w:val="44"/>
          <w:szCs w:val="44"/>
          <w:highlight w:val="yellow"/>
        </w:rPr>
      </w:pPr>
      <w:bookmarkStart w:id="10" w:name="_Toc3306"/>
      <w:bookmarkStart w:id="11" w:name="_Toc8256"/>
      <w:r>
        <w:rPr>
          <w:rFonts w:ascii="方正小标宋简体" w:eastAsia="方正小标宋简体" w:hint="eastAsia"/>
          <w:sz w:val="44"/>
          <w:szCs w:val="44"/>
          <w:highlight w:val="yellow"/>
        </w:rPr>
        <w:lastRenderedPageBreak/>
        <w:t>自然人税收管理系统扣缴客户端</w:t>
      </w:r>
    </w:p>
    <w:bookmarkEnd w:id="10"/>
    <w:p w:rsidR="007B6AB7" w:rsidRDefault="008F24FE">
      <w:pPr>
        <w:jc w:val="left"/>
        <w:rPr>
          <w:rFonts w:ascii="宋体" w:hAnsi="宋体" w:cs="宋体"/>
          <w:kern w:val="0"/>
          <w:highlight w:val="yellow"/>
        </w:rPr>
      </w:pPr>
      <w:r>
        <w:rPr>
          <w:rFonts w:ascii="宋体" w:hAnsi="宋体" w:cs="宋体" w:hint="eastAsia"/>
          <w:kern w:val="0"/>
          <w:highlight w:val="yellow"/>
        </w:rPr>
        <w:t>特别提醒，</w:t>
      </w:r>
      <w:bookmarkEnd w:id="11"/>
      <w:r>
        <w:rPr>
          <w:rFonts w:ascii="宋体" w:hAnsi="宋体" w:cs="宋体" w:hint="eastAsia"/>
          <w:kern w:val="0"/>
          <w:highlight w:val="yellow"/>
        </w:rPr>
        <w:t>扣缴客户端仅支持扣缴客户端申报记录缴款，暂不支持WEB端申报记录缴款。</w:t>
      </w:r>
    </w:p>
    <w:p w:rsidR="007B6AB7" w:rsidRDefault="008F24FE">
      <w:pPr>
        <w:spacing w:line="360" w:lineRule="auto"/>
        <w:ind w:firstLine="480"/>
        <w:rPr>
          <w:highlight w:val="yellow"/>
        </w:rPr>
      </w:pPr>
      <w:r>
        <w:rPr>
          <w:rFonts w:hint="eastAsia"/>
          <w:highlight w:val="yellow"/>
        </w:rPr>
        <w:t>银行端查询缴税：打印银行端查询缴税凭证后至商业银行缴款。</w:t>
      </w:r>
    </w:p>
    <w:p w:rsidR="007B6AB7" w:rsidRDefault="008F24FE">
      <w:pPr>
        <w:pStyle w:val="3"/>
        <w:numPr>
          <w:ilvl w:val="2"/>
          <w:numId w:val="0"/>
        </w:numPr>
      </w:pPr>
      <w:bookmarkStart w:id="12" w:name="_Toc14210"/>
      <w:r>
        <w:rPr>
          <w:rFonts w:hint="eastAsia"/>
        </w:rPr>
        <w:t>一、三方协议缴税</w:t>
      </w:r>
      <w:bookmarkEnd w:id="12"/>
    </w:p>
    <w:p w:rsidR="007B6AB7" w:rsidRDefault="008F24FE">
      <w:pPr>
        <w:spacing w:line="360" w:lineRule="auto"/>
        <w:ind w:firstLine="480"/>
      </w:pPr>
      <w:r>
        <w:rPr>
          <w:rFonts w:hint="eastAsia"/>
        </w:rPr>
        <w:t>投资人需要和税务机关、银行签订《委托银行代缴税款协议书》才能使用“三方协议缴款”方式。已经签订过的，不需要重新签订。特别提醒，需要投资人个人签订三方协议，企业签订三方协议的，无法进行经营所得扣款。</w:t>
      </w:r>
    </w:p>
    <w:p w:rsidR="007B6AB7" w:rsidRDefault="008F24FE" w:rsidP="008A0891">
      <w:pPr>
        <w:spacing w:beforeLines="50"/>
        <w:ind w:firstLineChars="200" w:firstLine="422"/>
        <w:rPr>
          <w:b/>
          <w:bCs/>
        </w:rPr>
      </w:pPr>
      <w:r>
        <w:rPr>
          <w:rFonts w:hint="eastAsia"/>
          <w:b/>
          <w:bCs/>
        </w:rPr>
        <w:t>操作步骤：</w:t>
      </w:r>
    </w:p>
    <w:p w:rsidR="007B6AB7" w:rsidRDefault="008F24FE">
      <w:pPr>
        <w:spacing w:line="360" w:lineRule="auto"/>
        <w:ind w:firstLine="480"/>
      </w:pPr>
      <w:r>
        <w:rPr>
          <w:rFonts w:hint="eastAsia"/>
        </w:rPr>
        <w:t xml:space="preserve">1. </w:t>
      </w:r>
      <w:r>
        <w:rPr>
          <w:rFonts w:hint="eastAsia"/>
        </w:rPr>
        <w:t>申报表申报成功后，点击【税款缴纳】→【三方协议缴税】，界面下方显示欠税相关</w:t>
      </w:r>
      <w:r>
        <w:t>内容</w:t>
      </w:r>
      <w:r>
        <w:rPr>
          <w:rFonts w:hint="eastAsia"/>
        </w:rPr>
        <w:t>，</w:t>
      </w:r>
      <w:r>
        <w:t>包括：</w:t>
      </w:r>
      <w:r>
        <w:rPr>
          <w:rFonts w:hint="eastAsia"/>
        </w:rPr>
        <w:t>投资人姓名、证照号码、税款所属期起止、申报表类型、</w:t>
      </w:r>
      <w:r>
        <w:t>应补</w:t>
      </w:r>
      <w:r>
        <w:rPr>
          <w:rFonts w:hint="eastAsia"/>
        </w:rPr>
        <w:t>（</w:t>
      </w:r>
      <w:r>
        <w:t>退</w:t>
      </w:r>
      <w:r>
        <w:rPr>
          <w:rFonts w:hint="eastAsia"/>
        </w:rPr>
        <w:t>）</w:t>
      </w:r>
      <w:r>
        <w:t>税额</w:t>
      </w:r>
      <w:r>
        <w:rPr>
          <w:rFonts w:hint="eastAsia"/>
        </w:rPr>
        <w:t>、个人三方协议账户等。</w:t>
      </w:r>
    </w:p>
    <w:p w:rsidR="007B6AB7" w:rsidRDefault="008F24FE">
      <w:pPr>
        <w:spacing w:line="360" w:lineRule="auto"/>
        <w:rPr>
          <w:rFonts w:eastAsia="宋体"/>
        </w:rPr>
      </w:pPr>
      <w:r>
        <w:rPr>
          <w:rFonts w:eastAsia="宋体" w:hint="eastAsia"/>
          <w:noProof/>
        </w:rPr>
        <w:drawing>
          <wp:inline distT="0" distB="0" distL="114300" distR="114300">
            <wp:extent cx="5261610" cy="2709545"/>
            <wp:effectExtent l="0" t="0" r="15240" b="14605"/>
            <wp:docPr id="13" name="图片 13" descr="图片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39"/>
                    <pic:cNvPicPr>
                      <a:picLocks noChangeAspect="1"/>
                    </pic:cNvPicPr>
                  </pic:nvPicPr>
                  <pic:blipFill>
                    <a:blip r:embed="rId18"/>
                    <a:stretch>
                      <a:fillRect/>
                    </a:stretch>
                  </pic:blipFill>
                  <pic:spPr>
                    <a:xfrm>
                      <a:off x="0" y="0"/>
                      <a:ext cx="5261610" cy="2709545"/>
                    </a:xfrm>
                    <a:prstGeom prst="rect">
                      <a:avLst/>
                    </a:prstGeom>
                    <a:noFill/>
                    <a:ln w="9525">
                      <a:noFill/>
                    </a:ln>
                  </pic:spPr>
                </pic:pic>
              </a:graphicData>
            </a:graphic>
          </wp:inline>
        </w:drawing>
      </w:r>
    </w:p>
    <w:p w:rsidR="007B6AB7" w:rsidRDefault="008F24FE">
      <w:pPr>
        <w:spacing w:line="360" w:lineRule="auto"/>
        <w:ind w:firstLine="480"/>
        <w:rPr>
          <w:rFonts w:ascii="宋体" w:hAnsi="宋体" w:cs="宋体"/>
          <w:szCs w:val="18"/>
        </w:rPr>
      </w:pPr>
      <w:r>
        <w:rPr>
          <w:rFonts w:ascii="宋体" w:hAnsi="宋体" w:cs="宋体" w:hint="eastAsia"/>
          <w:szCs w:val="18"/>
        </w:rPr>
        <w:t>2. 投资者只有一个三方协议账户时默认为该账户，若投资者存在多个三方协议账户，则“三方协议账户”列可下拉选择需要使用的三方协议账户，选择后点击【立即缴款】完成缴款即可，若缴款失败会反馈失败提示。</w:t>
      </w:r>
    </w:p>
    <w:p w:rsidR="007B6AB7" w:rsidRDefault="008F24FE">
      <w:pPr>
        <w:spacing w:line="360" w:lineRule="auto"/>
        <w:ind w:firstLine="482"/>
      </w:pPr>
      <w:r>
        <w:rPr>
          <w:rFonts w:hint="eastAsia"/>
          <w:b/>
          <w:bCs/>
        </w:rPr>
        <w:t>注意事项</w:t>
      </w:r>
      <w:r>
        <w:rPr>
          <w:rFonts w:hint="eastAsia"/>
        </w:rPr>
        <w:t>：</w:t>
      </w:r>
    </w:p>
    <w:p w:rsidR="007B6AB7" w:rsidRDefault="008F24FE">
      <w:pPr>
        <w:numPr>
          <w:ilvl w:val="0"/>
          <w:numId w:val="5"/>
        </w:numPr>
        <w:spacing w:line="360" w:lineRule="auto"/>
        <w:ind w:firstLine="480"/>
      </w:pPr>
      <w:r>
        <w:rPr>
          <w:rFonts w:hint="eastAsia"/>
        </w:rPr>
        <w:t>首次使用“三方协议”缴税或更新过三方协议账户的，先点击【更新三方协议】，获取最新协议信息再进行缴款。</w:t>
      </w:r>
    </w:p>
    <w:p w:rsidR="007B6AB7" w:rsidRDefault="008F24FE">
      <w:pPr>
        <w:numPr>
          <w:ilvl w:val="0"/>
          <w:numId w:val="5"/>
        </w:numPr>
        <w:spacing w:line="360" w:lineRule="auto"/>
        <w:ind w:firstLine="480"/>
      </w:pPr>
      <w:r>
        <w:rPr>
          <w:rFonts w:hint="eastAsia"/>
        </w:rPr>
        <w:t>若有缴款状态为待反馈的记录，可点击【缴款反馈】获取缴款结果。</w:t>
      </w:r>
    </w:p>
    <w:p w:rsidR="007B6AB7" w:rsidRDefault="008F24FE">
      <w:pPr>
        <w:numPr>
          <w:ilvl w:val="0"/>
          <w:numId w:val="5"/>
        </w:numPr>
        <w:spacing w:line="360" w:lineRule="auto"/>
        <w:ind w:firstLine="480"/>
      </w:pPr>
      <w:r>
        <w:rPr>
          <w:rFonts w:ascii="宋体" w:hAnsi="宋体" w:cs="宋体" w:hint="eastAsia"/>
          <w:szCs w:val="18"/>
        </w:rPr>
        <w:t>只针对本地申报成功且欠税的记录进行缴款，如果客户端重装，申报数据丢失，只</w:t>
      </w:r>
      <w:r>
        <w:rPr>
          <w:rFonts w:ascii="宋体" w:hAnsi="宋体" w:cs="宋体" w:hint="eastAsia"/>
          <w:szCs w:val="18"/>
        </w:rPr>
        <w:lastRenderedPageBreak/>
        <w:t>能通过其他渠道缴款。</w:t>
      </w:r>
    </w:p>
    <w:p w:rsidR="007B6AB7" w:rsidRDefault="008F24FE">
      <w:pPr>
        <w:pStyle w:val="3"/>
        <w:numPr>
          <w:ilvl w:val="2"/>
          <w:numId w:val="0"/>
        </w:numPr>
        <w:rPr>
          <w:highlight w:val="yellow"/>
        </w:rPr>
      </w:pPr>
      <w:bookmarkStart w:id="13" w:name="_Toc29607"/>
      <w:r>
        <w:rPr>
          <w:rFonts w:hint="eastAsia"/>
          <w:highlight w:val="yellow"/>
        </w:rPr>
        <w:t>二、银行端查询缴税</w:t>
      </w:r>
      <w:bookmarkEnd w:id="13"/>
    </w:p>
    <w:p w:rsidR="007B6AB7" w:rsidRDefault="008F24FE" w:rsidP="008A0891">
      <w:pPr>
        <w:spacing w:beforeLines="50"/>
        <w:ind w:firstLineChars="200" w:firstLine="422"/>
        <w:rPr>
          <w:b/>
          <w:bCs/>
        </w:rPr>
      </w:pPr>
      <w:r>
        <w:rPr>
          <w:rFonts w:hint="eastAsia"/>
          <w:b/>
          <w:bCs/>
        </w:rPr>
        <w:t>操作步骤：</w:t>
      </w:r>
    </w:p>
    <w:p w:rsidR="007B6AB7" w:rsidRDefault="008F24FE">
      <w:pPr>
        <w:spacing w:line="360" w:lineRule="auto"/>
        <w:ind w:firstLine="480"/>
      </w:pPr>
      <w:r>
        <w:rPr>
          <w:rFonts w:cs="Arial" w:hint="eastAsia"/>
          <w:kern w:val="0"/>
        </w:rPr>
        <w:t xml:space="preserve">1. </w:t>
      </w:r>
      <w:r>
        <w:rPr>
          <w:rFonts w:cs="Arial" w:hint="eastAsia"/>
          <w:kern w:val="0"/>
        </w:rPr>
        <w:t>申报表申报成功后，点击【税款缴纳】→【银行端查询缴税】，</w:t>
      </w:r>
      <w:r>
        <w:rPr>
          <w:rFonts w:hint="eastAsia"/>
        </w:rPr>
        <w:t>界面下方显示欠税相关</w:t>
      </w:r>
      <w:r>
        <w:t>内容</w:t>
      </w:r>
      <w:r>
        <w:rPr>
          <w:rFonts w:hint="eastAsia"/>
        </w:rPr>
        <w:t>，</w:t>
      </w:r>
      <w:r>
        <w:t>包括：</w:t>
      </w:r>
      <w:r>
        <w:rPr>
          <w:rFonts w:hint="eastAsia"/>
        </w:rPr>
        <w:t>投资人姓名、证照号码、税款所属期起止、申报表类型、</w:t>
      </w:r>
      <w:r>
        <w:t>应补</w:t>
      </w:r>
      <w:r>
        <w:rPr>
          <w:rFonts w:hint="eastAsia"/>
        </w:rPr>
        <w:t>（</w:t>
      </w:r>
      <w:r>
        <w:t>退</w:t>
      </w:r>
      <w:r>
        <w:rPr>
          <w:rFonts w:hint="eastAsia"/>
        </w:rPr>
        <w:t>）</w:t>
      </w:r>
      <w:r>
        <w:t>税额</w:t>
      </w:r>
      <w:r>
        <w:rPr>
          <w:rFonts w:hint="eastAsia"/>
        </w:rPr>
        <w:t>、滞纳金、缴款状态等。</w:t>
      </w:r>
    </w:p>
    <w:p w:rsidR="007B6AB7" w:rsidRDefault="008F24FE">
      <w:pPr>
        <w:spacing w:line="360" w:lineRule="auto"/>
        <w:rPr>
          <w:rFonts w:eastAsia="宋体"/>
        </w:rPr>
      </w:pPr>
      <w:r>
        <w:rPr>
          <w:rFonts w:eastAsia="宋体" w:hint="eastAsia"/>
          <w:noProof/>
        </w:rPr>
        <w:drawing>
          <wp:inline distT="0" distB="0" distL="114300" distR="114300">
            <wp:extent cx="5261610" cy="2705735"/>
            <wp:effectExtent l="0" t="0" r="15240" b="18415"/>
            <wp:docPr id="14" name="图片 14" descr="图片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40"/>
                    <pic:cNvPicPr>
                      <a:picLocks noChangeAspect="1"/>
                    </pic:cNvPicPr>
                  </pic:nvPicPr>
                  <pic:blipFill>
                    <a:blip r:embed="rId19"/>
                    <a:stretch>
                      <a:fillRect/>
                    </a:stretch>
                  </pic:blipFill>
                  <pic:spPr>
                    <a:xfrm>
                      <a:off x="0" y="0"/>
                      <a:ext cx="5261610" cy="2705735"/>
                    </a:xfrm>
                    <a:prstGeom prst="rect">
                      <a:avLst/>
                    </a:prstGeom>
                    <a:noFill/>
                    <a:ln w="9525">
                      <a:noFill/>
                    </a:ln>
                  </pic:spPr>
                </pic:pic>
              </a:graphicData>
            </a:graphic>
          </wp:inline>
        </w:drawing>
      </w:r>
    </w:p>
    <w:p w:rsidR="007B6AB7" w:rsidRDefault="008F24FE">
      <w:pPr>
        <w:spacing w:line="360" w:lineRule="auto"/>
        <w:ind w:firstLine="480"/>
        <w:rPr>
          <w:rFonts w:ascii="宋体" w:hAnsi="宋体" w:cs="宋体"/>
          <w:szCs w:val="18"/>
        </w:rPr>
      </w:pPr>
      <w:r>
        <w:rPr>
          <w:rFonts w:hint="eastAsia"/>
        </w:rPr>
        <w:t>2.</w:t>
      </w:r>
      <w:r>
        <w:rPr>
          <w:rFonts w:hint="eastAsia"/>
        </w:rPr>
        <w:t>选</w:t>
      </w:r>
      <w:r>
        <w:rPr>
          <w:rFonts w:ascii="宋体" w:hAnsi="宋体" w:cs="宋体" w:hint="eastAsia"/>
          <w:szCs w:val="18"/>
        </w:rPr>
        <w:t>择投资人待缴税记录后，点击【打印】，携带打印出来的银行端查询缴税凭证在凭证上注明的限缴期限前至商业银行柜台进行缴款，逾期将需要作废重新打印并可能产生滞纳金。若需要重新打印，点击【作废】，作废成功后，状态变更为未打印，重新点击【打印】，携带最新银行端查询缴税凭证至银行缴款。</w:t>
      </w:r>
    </w:p>
    <w:p w:rsidR="007B6AB7" w:rsidRDefault="008F24FE">
      <w:pPr>
        <w:spacing w:line="360" w:lineRule="auto"/>
        <w:ind w:firstLine="482"/>
      </w:pPr>
      <w:r>
        <w:rPr>
          <w:rFonts w:hint="eastAsia"/>
          <w:b/>
          <w:bCs/>
        </w:rPr>
        <w:t>注意事项</w:t>
      </w:r>
      <w:r>
        <w:rPr>
          <w:rFonts w:hint="eastAsia"/>
        </w:rPr>
        <w:t>：</w:t>
      </w:r>
    </w:p>
    <w:p w:rsidR="007B6AB7" w:rsidRDefault="008F24FE">
      <w:pPr>
        <w:numPr>
          <w:ilvl w:val="0"/>
          <w:numId w:val="6"/>
        </w:numPr>
        <w:spacing w:line="360" w:lineRule="auto"/>
        <w:ind w:firstLineChars="200" w:firstLine="420"/>
        <w:rPr>
          <w:rFonts w:ascii="宋体" w:hAnsi="宋体" w:cs="宋体"/>
          <w:szCs w:val="18"/>
        </w:rPr>
      </w:pPr>
      <w:r>
        <w:rPr>
          <w:rFonts w:ascii="宋体" w:hAnsi="宋体" w:cs="宋体" w:hint="eastAsia"/>
          <w:szCs w:val="18"/>
        </w:rPr>
        <w:t>只针对本地申报成功且欠税的记录进行缴款，如果客户端重装，申报数据丢失，只能通过其他渠道缴款。</w:t>
      </w:r>
      <w:bookmarkStart w:id="14" w:name="_GoBack"/>
      <w:bookmarkEnd w:id="14"/>
    </w:p>
    <w:p w:rsidR="007B6AB7" w:rsidRPr="00D844A1" w:rsidRDefault="008F24FE" w:rsidP="00D844A1">
      <w:pPr>
        <w:numPr>
          <w:ilvl w:val="0"/>
          <w:numId w:val="6"/>
        </w:numPr>
        <w:spacing w:line="360" w:lineRule="auto"/>
        <w:ind w:firstLineChars="200" w:firstLine="420"/>
        <w:rPr>
          <w:rFonts w:ascii="宋体" w:hAnsi="宋体" w:cs="宋体"/>
          <w:szCs w:val="18"/>
        </w:rPr>
      </w:pPr>
      <w:r>
        <w:rPr>
          <w:rFonts w:ascii="宋体" w:hAnsi="宋体" w:cs="宋体" w:hint="eastAsia"/>
          <w:szCs w:val="18"/>
        </w:rPr>
        <w:t>打印状态为“已打印”，缴款状态为“已缴款”的，不允许作废。</w:t>
      </w:r>
    </w:p>
    <w:sectPr w:rsidR="007B6AB7" w:rsidRPr="00D844A1" w:rsidSect="002F02D2">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6CA" w:rsidRDefault="005C26CA" w:rsidP="00D844A1">
      <w:r>
        <w:separator/>
      </w:r>
    </w:p>
  </w:endnote>
  <w:endnote w:type="continuationSeparator" w:id="1">
    <w:p w:rsidR="005C26CA" w:rsidRDefault="005C26CA" w:rsidP="00D84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91" w:rsidRDefault="008A08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91" w:rsidRDefault="008A089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91" w:rsidRDefault="008A08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6CA" w:rsidRDefault="005C26CA" w:rsidP="00D844A1">
      <w:r>
        <w:separator/>
      </w:r>
    </w:p>
  </w:footnote>
  <w:footnote w:type="continuationSeparator" w:id="1">
    <w:p w:rsidR="005C26CA" w:rsidRDefault="005C26CA" w:rsidP="00D84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91" w:rsidRDefault="008A089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91" w:rsidRDefault="008A0891" w:rsidP="008A089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91" w:rsidRDefault="008A089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8DE94C"/>
    <w:multiLevelType w:val="singleLevel"/>
    <w:tmpl w:val="D58DE94C"/>
    <w:lvl w:ilvl="0">
      <w:start w:val="1"/>
      <w:numFmt w:val="decimal"/>
      <w:suff w:val="nothing"/>
      <w:lvlText w:val="%1．"/>
      <w:lvlJc w:val="left"/>
      <w:pPr>
        <w:ind w:left="0" w:firstLine="400"/>
      </w:pPr>
      <w:rPr>
        <w:rFonts w:hint="default"/>
      </w:rPr>
    </w:lvl>
  </w:abstractNum>
  <w:abstractNum w:abstractNumId="1">
    <w:nsid w:val="04E15D58"/>
    <w:multiLevelType w:val="multilevel"/>
    <w:tmpl w:val="04E15D58"/>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ascii="宋体" w:eastAsia="宋体" w:hAnsi="宋体" w:cs="宋体" w:hint="default"/>
      </w:rPr>
    </w:lvl>
    <w:lvl w:ilvl="3">
      <w:start w:val="1"/>
      <w:numFmt w:val="decimal"/>
      <w:pStyle w:val="4"/>
      <w:suff w:val="space"/>
      <w:lvlText w:val="%1.%2.%3.%4"/>
      <w:lvlJc w:val="left"/>
      <w:pPr>
        <w:tabs>
          <w:tab w:val="left" w:pos="0"/>
        </w:tabs>
        <w:ind w:left="0" w:firstLine="0"/>
      </w:pPr>
      <w:rPr>
        <w:rFonts w:ascii="宋体" w:eastAsia="宋体" w:hAnsi="宋体" w:cs="宋体"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nsid w:val="0CAB7F22"/>
    <w:multiLevelType w:val="singleLevel"/>
    <w:tmpl w:val="0CAB7F22"/>
    <w:lvl w:ilvl="0">
      <w:start w:val="1"/>
      <w:numFmt w:val="decimal"/>
      <w:suff w:val="nothing"/>
      <w:lvlText w:val="%1．"/>
      <w:lvlJc w:val="left"/>
      <w:pPr>
        <w:ind w:left="0" w:firstLine="400"/>
      </w:pPr>
      <w:rPr>
        <w:rFonts w:hint="default"/>
      </w:rPr>
    </w:lvl>
  </w:abstractNum>
  <w:abstractNum w:abstractNumId="3">
    <w:nsid w:val="23062F90"/>
    <w:multiLevelType w:val="singleLevel"/>
    <w:tmpl w:val="23062F90"/>
    <w:lvl w:ilvl="0">
      <w:start w:val="1"/>
      <w:numFmt w:val="decimal"/>
      <w:suff w:val="nothing"/>
      <w:lvlText w:val="%1．"/>
      <w:lvlJc w:val="left"/>
      <w:pPr>
        <w:ind w:left="0" w:firstLine="400"/>
      </w:pPr>
      <w:rPr>
        <w:rFonts w:hint="default"/>
      </w:rPr>
    </w:lvl>
  </w:abstractNum>
  <w:abstractNum w:abstractNumId="4">
    <w:nsid w:val="46D90D18"/>
    <w:multiLevelType w:val="singleLevel"/>
    <w:tmpl w:val="46D90D18"/>
    <w:lvl w:ilvl="0">
      <w:start w:val="1"/>
      <w:numFmt w:val="decimal"/>
      <w:suff w:val="nothing"/>
      <w:lvlText w:val="%1．"/>
      <w:lvlJc w:val="left"/>
      <w:pPr>
        <w:ind w:left="0" w:firstLine="400"/>
      </w:pPr>
      <w:rPr>
        <w:rFonts w:hint="default"/>
      </w:rPr>
    </w:lvl>
  </w:abstractNum>
  <w:abstractNum w:abstractNumId="5">
    <w:nsid w:val="608B4687"/>
    <w:multiLevelType w:val="singleLevel"/>
    <w:tmpl w:val="608B4687"/>
    <w:lvl w:ilvl="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AB7"/>
    <w:rsid w:val="002F02D2"/>
    <w:rsid w:val="005C26CA"/>
    <w:rsid w:val="007B6AB7"/>
    <w:rsid w:val="00883EB5"/>
    <w:rsid w:val="008A0891"/>
    <w:rsid w:val="008F24FE"/>
    <w:rsid w:val="00BE1BA8"/>
    <w:rsid w:val="00D54DD6"/>
    <w:rsid w:val="00D844A1"/>
    <w:rsid w:val="173F4851"/>
    <w:rsid w:val="24A71BFD"/>
    <w:rsid w:val="441E59C2"/>
    <w:rsid w:val="4A72677F"/>
    <w:rsid w:val="51AB0BF3"/>
    <w:rsid w:val="52581288"/>
    <w:rsid w:val="54FC7969"/>
    <w:rsid w:val="70A02E62"/>
    <w:rsid w:val="72394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2D2"/>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2F02D2"/>
    <w:pPr>
      <w:keepNext/>
      <w:keepLines/>
      <w:numPr>
        <w:ilvl w:val="1"/>
        <w:numId w:val="1"/>
      </w:numPr>
      <w:tabs>
        <w:tab w:val="left" w:pos="576"/>
      </w:tabs>
      <w:spacing w:line="360" w:lineRule="auto"/>
      <w:ind w:left="0" w:firstLine="0"/>
      <w:outlineLvl w:val="1"/>
    </w:pPr>
    <w:rPr>
      <w:rFonts w:ascii="Arial" w:eastAsia="微软雅黑" w:hAnsi="Arial"/>
      <w:b/>
      <w:bCs/>
      <w:sz w:val="28"/>
      <w:szCs w:val="32"/>
    </w:rPr>
  </w:style>
  <w:style w:type="paragraph" w:styleId="3">
    <w:name w:val="heading 3"/>
    <w:basedOn w:val="a"/>
    <w:next w:val="a"/>
    <w:qFormat/>
    <w:rsid w:val="002F02D2"/>
    <w:pPr>
      <w:keepNext/>
      <w:keepLines/>
      <w:numPr>
        <w:ilvl w:val="2"/>
        <w:numId w:val="1"/>
      </w:numPr>
      <w:spacing w:line="360" w:lineRule="auto"/>
      <w:ind w:left="0" w:firstLine="0"/>
      <w:jc w:val="left"/>
      <w:outlineLvl w:val="2"/>
    </w:pPr>
    <w:rPr>
      <w:rFonts w:eastAsia="微软雅黑"/>
      <w:b/>
    </w:rPr>
  </w:style>
  <w:style w:type="paragraph" w:styleId="4">
    <w:name w:val="heading 4"/>
    <w:basedOn w:val="a"/>
    <w:next w:val="a"/>
    <w:qFormat/>
    <w:rsid w:val="002F02D2"/>
    <w:pPr>
      <w:keepNext/>
      <w:keepLines/>
      <w:numPr>
        <w:ilvl w:val="3"/>
        <w:numId w:val="1"/>
      </w:numPr>
      <w:spacing w:line="360" w:lineRule="auto"/>
      <w:outlineLvl w:val="3"/>
    </w:pPr>
    <w:rPr>
      <w:rFonts w:ascii="Arial" w:eastAsia="微软雅黑"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4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44A1"/>
    <w:rPr>
      <w:rFonts w:asciiTheme="minorHAnsi" w:eastAsiaTheme="minorEastAsia" w:hAnsiTheme="minorHAnsi" w:cstheme="minorBidi"/>
      <w:kern w:val="2"/>
      <w:sz w:val="18"/>
      <w:szCs w:val="18"/>
    </w:rPr>
  </w:style>
  <w:style w:type="paragraph" w:styleId="a4">
    <w:name w:val="footer"/>
    <w:basedOn w:val="a"/>
    <w:link w:val="Char0"/>
    <w:rsid w:val="00D844A1"/>
    <w:pPr>
      <w:tabs>
        <w:tab w:val="center" w:pos="4153"/>
        <w:tab w:val="right" w:pos="8306"/>
      </w:tabs>
      <w:snapToGrid w:val="0"/>
      <w:jc w:val="left"/>
    </w:pPr>
    <w:rPr>
      <w:sz w:val="18"/>
      <w:szCs w:val="18"/>
    </w:rPr>
  </w:style>
  <w:style w:type="character" w:customStyle="1" w:styleId="Char0">
    <w:name w:val="页脚 Char"/>
    <w:basedOn w:val="a0"/>
    <w:link w:val="a4"/>
    <w:rsid w:val="00D844A1"/>
    <w:rPr>
      <w:rFonts w:asciiTheme="minorHAnsi" w:eastAsiaTheme="minorEastAsia" w:hAnsiTheme="minorHAnsi" w:cstheme="minorBidi"/>
      <w:kern w:val="2"/>
      <w:sz w:val="18"/>
      <w:szCs w:val="18"/>
    </w:rPr>
  </w:style>
  <w:style w:type="paragraph" w:styleId="a5">
    <w:name w:val="Balloon Text"/>
    <w:basedOn w:val="a"/>
    <w:link w:val="Char1"/>
    <w:rsid w:val="008A0891"/>
    <w:rPr>
      <w:sz w:val="18"/>
      <w:szCs w:val="18"/>
    </w:rPr>
  </w:style>
  <w:style w:type="character" w:customStyle="1" w:styleId="Char1">
    <w:name w:val="批注框文本 Char"/>
    <w:basedOn w:val="a0"/>
    <w:link w:val="a5"/>
    <w:rsid w:val="008A089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dcterms:created xsi:type="dcterms:W3CDTF">2019-04-04T01:05:00Z</dcterms:created>
  <dcterms:modified xsi:type="dcterms:W3CDTF">2019-04-04T01:45:00Z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